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585C" w14:textId="018C1F64" w:rsidR="005523A8" w:rsidRPr="005523A8" w:rsidRDefault="005523A8" w:rsidP="00C76AE7">
      <w:pPr>
        <w:spacing w:before="41" w:line="259" w:lineRule="auto"/>
        <w:ind w:left="100" w:right="16"/>
        <w:jc w:val="center"/>
        <w:rPr>
          <w:b/>
          <w:bCs/>
        </w:rPr>
      </w:pPr>
      <w:r w:rsidRPr="005523A8">
        <w:rPr>
          <w:b/>
          <w:bCs/>
        </w:rPr>
        <w:t>INFO4C Product Terms</w:t>
      </w:r>
    </w:p>
    <w:p w14:paraId="1DF70DFE" w14:textId="77777777" w:rsidR="005523A8" w:rsidRDefault="005523A8">
      <w:pPr>
        <w:spacing w:before="41" w:line="259" w:lineRule="auto"/>
        <w:ind w:left="100" w:right="16"/>
        <w:jc w:val="both"/>
      </w:pPr>
    </w:p>
    <w:p w14:paraId="53FB97C6" w14:textId="76F0D82F" w:rsidR="006019E5" w:rsidRDefault="00000000" w:rsidP="0073127F">
      <w:pPr>
        <w:spacing w:before="41" w:line="259" w:lineRule="auto"/>
        <w:ind w:left="100" w:right="16"/>
        <w:jc w:val="both"/>
      </w:pPr>
      <w:r>
        <w:t>The following additional product terms apply when the Client purchases access to the Diligent Services</w:t>
      </w:r>
      <w:r>
        <w:rPr>
          <w:spacing w:val="-5"/>
        </w:rPr>
        <w:t xml:space="preserve"> </w:t>
      </w:r>
      <w:r>
        <w:t>identified</w:t>
      </w:r>
      <w:r>
        <w:rPr>
          <w:spacing w:val="-6"/>
        </w:rPr>
        <w:t xml:space="preserve"> </w:t>
      </w:r>
      <w:r>
        <w:t>as</w:t>
      </w:r>
      <w:r>
        <w:rPr>
          <w:spacing w:val="-7"/>
        </w:rPr>
        <w:t xml:space="preserve"> </w:t>
      </w:r>
      <w:r w:rsidR="0073127F" w:rsidRPr="002C7A76">
        <w:rPr>
          <w:b/>
        </w:rPr>
        <w:t>PEP</w:t>
      </w:r>
      <w:r w:rsidR="0073127F" w:rsidRPr="002C7A76">
        <w:rPr>
          <w:b/>
          <w:spacing w:val="-9"/>
        </w:rPr>
        <w:t xml:space="preserve"> </w:t>
      </w:r>
      <w:r w:rsidR="0073127F" w:rsidRPr="002C7A76">
        <w:rPr>
          <w:b/>
        </w:rPr>
        <w:t>Desk®</w:t>
      </w:r>
      <w:r w:rsidR="0073127F">
        <w:t>,</w:t>
      </w:r>
      <w:r w:rsidR="0073127F" w:rsidRPr="002C7A76">
        <w:rPr>
          <w:spacing w:val="-9"/>
        </w:rPr>
        <w:t xml:space="preserve"> </w:t>
      </w:r>
      <w:r w:rsidR="0073127F" w:rsidRPr="002C7A76">
        <w:rPr>
          <w:b/>
        </w:rPr>
        <w:t>Sanction</w:t>
      </w:r>
      <w:r w:rsidR="0073127F" w:rsidRPr="002C7A76">
        <w:rPr>
          <w:b/>
          <w:spacing w:val="-10"/>
        </w:rPr>
        <w:t xml:space="preserve"> </w:t>
      </w:r>
      <w:r w:rsidR="0073127F" w:rsidRPr="002C7A76">
        <w:rPr>
          <w:b/>
        </w:rPr>
        <w:t>Lists,</w:t>
      </w:r>
      <w:r w:rsidR="0073127F" w:rsidRPr="002C7A76">
        <w:rPr>
          <w:b/>
          <w:spacing w:val="-7"/>
        </w:rPr>
        <w:t xml:space="preserve"> </w:t>
      </w:r>
      <w:r w:rsidR="0073127F" w:rsidRPr="002C7A76">
        <w:rPr>
          <w:b/>
        </w:rPr>
        <w:t>Watchlists</w:t>
      </w:r>
      <w:r w:rsidR="0073127F" w:rsidRPr="002C7A76">
        <w:rPr>
          <w:b/>
          <w:spacing w:val="-8"/>
        </w:rPr>
        <w:t xml:space="preserve"> </w:t>
      </w:r>
      <w:r w:rsidR="0073127F" w:rsidRPr="002C7A76">
        <w:rPr>
          <w:b/>
        </w:rPr>
        <w:t>&amp;</w:t>
      </w:r>
      <w:r w:rsidR="0073127F" w:rsidRPr="002C7A76">
        <w:rPr>
          <w:b/>
          <w:spacing w:val="-11"/>
        </w:rPr>
        <w:t xml:space="preserve"> </w:t>
      </w:r>
      <w:r w:rsidR="0073127F" w:rsidRPr="002C7A76">
        <w:rPr>
          <w:b/>
        </w:rPr>
        <w:t>Blacklists, State Owne</w:t>
      </w:r>
      <w:r w:rsidR="00BE6AA1">
        <w:rPr>
          <w:b/>
        </w:rPr>
        <w:t>d</w:t>
      </w:r>
      <w:r w:rsidR="0073127F" w:rsidRPr="002C7A76">
        <w:rPr>
          <w:b/>
        </w:rPr>
        <w:t xml:space="preserve"> Enterprises (“SOE”)</w:t>
      </w:r>
      <w:r w:rsidR="0073127F">
        <w:t xml:space="preserve">, </w:t>
      </w:r>
      <w:r w:rsidR="0073127F" w:rsidRPr="002C7A76">
        <w:rPr>
          <w:b/>
        </w:rPr>
        <w:t>PIL List®,</w:t>
      </w:r>
      <w:r w:rsidR="0073127F" w:rsidRPr="002C7A76">
        <w:rPr>
          <w:b/>
          <w:spacing w:val="-1"/>
        </w:rPr>
        <w:t xml:space="preserve"> </w:t>
      </w:r>
      <w:r w:rsidR="0073127F" w:rsidRPr="002C7A76">
        <w:rPr>
          <w:b/>
        </w:rPr>
        <w:t>Compliance Database - Brazil Lists, - Mexico Lists – Colombia Lists</w:t>
      </w:r>
      <w:r w:rsidR="0073127F">
        <w:rPr>
          <w:b/>
        </w:rPr>
        <w:t xml:space="preserve">, </w:t>
      </w:r>
      <w:r w:rsidR="00204981">
        <w:rPr>
          <w:b/>
        </w:rPr>
        <w:t>Ownership</w:t>
      </w:r>
      <w:r w:rsidR="0073127F">
        <w:rPr>
          <w:b/>
        </w:rPr>
        <w:t xml:space="preserve"> &amp; Affiliation Network (EU), Ownership &amp; Affiliation Network (OFAC) </w:t>
      </w:r>
      <w:r>
        <w:rPr>
          <w:b/>
        </w:rPr>
        <w:t>and/or</w:t>
      </w:r>
      <w:r>
        <w:rPr>
          <w:b/>
          <w:spacing w:val="-4"/>
        </w:rPr>
        <w:t xml:space="preserve"> </w:t>
      </w:r>
      <w:r>
        <w:rPr>
          <w:b/>
        </w:rPr>
        <w:t>info4C</w:t>
      </w:r>
      <w:r>
        <w:rPr>
          <w:b/>
          <w:spacing w:val="-5"/>
        </w:rPr>
        <w:t xml:space="preserve"> </w:t>
      </w:r>
      <w:r>
        <w:rPr>
          <w:b/>
        </w:rPr>
        <w:t>Research</w:t>
      </w:r>
      <w:r>
        <w:rPr>
          <w:b/>
          <w:spacing w:val="-5"/>
        </w:rPr>
        <w:t xml:space="preserve"> </w:t>
      </w:r>
      <w:r>
        <w:rPr>
          <w:b/>
        </w:rPr>
        <w:t xml:space="preserve">Kiosk, info4C or similar branding </w:t>
      </w:r>
      <w:r>
        <w:t>(and any references to “</w:t>
      </w:r>
      <w:r>
        <w:rPr>
          <w:b/>
        </w:rPr>
        <w:t>Diligent Service</w:t>
      </w:r>
      <w:r>
        <w:t>” on this page shall be understood to refer only to such Diligent Service)</w:t>
      </w:r>
      <w:r w:rsidR="00204981">
        <w:t>.</w:t>
      </w:r>
    </w:p>
    <w:p w14:paraId="75FA67A9" w14:textId="7C3DF34A" w:rsidR="006019E5" w:rsidRDefault="00000000">
      <w:pPr>
        <w:pStyle w:val="ListParagraph"/>
        <w:numPr>
          <w:ilvl w:val="0"/>
          <w:numId w:val="1"/>
        </w:numPr>
        <w:tabs>
          <w:tab w:val="left" w:pos="460"/>
        </w:tabs>
        <w:spacing w:before="158" w:line="259" w:lineRule="auto"/>
        <w:ind w:right="17"/>
      </w:pPr>
      <w:r>
        <w:t>For</w:t>
      </w:r>
      <w:r>
        <w:rPr>
          <w:spacing w:val="-13"/>
        </w:rPr>
        <w:t xml:space="preserve"> </w:t>
      </w:r>
      <w:r>
        <w:t>the</w:t>
      </w:r>
      <w:r>
        <w:rPr>
          <w:spacing w:val="-10"/>
        </w:rPr>
        <w:t xml:space="preserve"> </w:t>
      </w:r>
      <w:r>
        <w:t>avoidance</w:t>
      </w:r>
      <w:r>
        <w:rPr>
          <w:spacing w:val="-11"/>
        </w:rPr>
        <w:t xml:space="preserve"> </w:t>
      </w:r>
      <w:r>
        <w:t>of</w:t>
      </w:r>
      <w:r>
        <w:rPr>
          <w:spacing w:val="-12"/>
        </w:rPr>
        <w:t xml:space="preserve"> </w:t>
      </w:r>
      <w:r>
        <w:t>doubt,</w:t>
      </w:r>
      <w:r>
        <w:rPr>
          <w:spacing w:val="-12"/>
        </w:rPr>
        <w:t xml:space="preserve"> </w:t>
      </w:r>
      <w:r>
        <w:t>the</w:t>
      </w:r>
      <w:r>
        <w:rPr>
          <w:spacing w:val="-11"/>
        </w:rPr>
        <w:t xml:space="preserve"> </w:t>
      </w:r>
      <w:r>
        <w:t>above-mentioned</w:t>
      </w:r>
      <w:r>
        <w:rPr>
          <w:spacing w:val="-13"/>
        </w:rPr>
        <w:t xml:space="preserve"> </w:t>
      </w:r>
      <w:r>
        <w:t>Diligent</w:t>
      </w:r>
      <w:r>
        <w:rPr>
          <w:spacing w:val="-10"/>
        </w:rPr>
        <w:t xml:space="preserve"> </w:t>
      </w:r>
      <w:r>
        <w:t>Services</w:t>
      </w:r>
      <w:r>
        <w:rPr>
          <w:spacing w:val="-9"/>
        </w:rPr>
        <w:t xml:space="preserve"> </w:t>
      </w:r>
      <w:r>
        <w:t>are</w:t>
      </w:r>
      <w:r>
        <w:rPr>
          <w:spacing w:val="-11"/>
        </w:rPr>
        <w:t xml:space="preserve"> </w:t>
      </w:r>
      <w:r>
        <w:t>each</w:t>
      </w:r>
      <w:r>
        <w:rPr>
          <w:spacing w:val="-11"/>
        </w:rPr>
        <w:t xml:space="preserve"> </w:t>
      </w:r>
      <w:r>
        <w:t>a</w:t>
      </w:r>
      <w:r>
        <w:rPr>
          <w:spacing w:val="-13"/>
        </w:rPr>
        <w:t xml:space="preserve"> </w:t>
      </w:r>
      <w:r>
        <w:t>Reporting, News, and Education Service as defined under the Agreement. Client acknowledges and agrees that, if applicable, data entered into (or otherwise submitted through one of these Diligent Services) shall not be treated as Client Data (or similar terms) as defined under the Agreement. Diligent shall use reasonable measures to secure any such data.</w:t>
      </w:r>
    </w:p>
    <w:p w14:paraId="63175FD0" w14:textId="77777777" w:rsidR="005523A8" w:rsidRDefault="005523A8" w:rsidP="005523A8">
      <w:pPr>
        <w:pStyle w:val="ListParagraph"/>
        <w:tabs>
          <w:tab w:val="left" w:pos="460"/>
        </w:tabs>
        <w:spacing w:before="158" w:line="259" w:lineRule="auto"/>
        <w:ind w:left="460" w:right="17" w:firstLine="0"/>
        <w:jc w:val="left"/>
      </w:pPr>
    </w:p>
    <w:p w14:paraId="2267AB58" w14:textId="12A1389A" w:rsidR="006019E5" w:rsidRDefault="00000000">
      <w:pPr>
        <w:pStyle w:val="ListParagraph"/>
        <w:numPr>
          <w:ilvl w:val="0"/>
          <w:numId w:val="1"/>
        </w:numPr>
        <w:tabs>
          <w:tab w:val="left" w:pos="458"/>
          <w:tab w:val="left" w:pos="460"/>
        </w:tabs>
        <w:spacing w:line="259" w:lineRule="auto"/>
        <w:ind w:right="17"/>
      </w:pPr>
      <w:r>
        <w:t>The</w:t>
      </w:r>
      <w:r>
        <w:rPr>
          <w:spacing w:val="-4"/>
        </w:rPr>
        <w:t xml:space="preserve"> </w:t>
      </w:r>
      <w:r>
        <w:t>following</w:t>
      </w:r>
      <w:r>
        <w:rPr>
          <w:spacing w:val="-6"/>
        </w:rPr>
        <w:t xml:space="preserve"> </w:t>
      </w:r>
      <w:r>
        <w:t>terms</w:t>
      </w:r>
      <w:r>
        <w:rPr>
          <w:spacing w:val="-7"/>
        </w:rPr>
        <w:t xml:space="preserve"> </w:t>
      </w:r>
      <w:r>
        <w:t>shall</w:t>
      </w:r>
      <w:r>
        <w:rPr>
          <w:spacing w:val="-5"/>
        </w:rPr>
        <w:t xml:space="preserve"> </w:t>
      </w:r>
      <w:r>
        <w:t>apply</w:t>
      </w:r>
      <w:r>
        <w:rPr>
          <w:spacing w:val="-4"/>
        </w:rPr>
        <w:t xml:space="preserve"> </w:t>
      </w:r>
      <w:r>
        <w:t>if</w:t>
      </w:r>
      <w:r>
        <w:rPr>
          <w:spacing w:val="-4"/>
        </w:rPr>
        <w:t xml:space="preserve"> </w:t>
      </w:r>
      <w:r>
        <w:t>any</w:t>
      </w:r>
      <w:r>
        <w:rPr>
          <w:spacing w:val="-6"/>
        </w:rPr>
        <w:t xml:space="preserve"> </w:t>
      </w:r>
      <w:r>
        <w:t>such</w:t>
      </w:r>
      <w:r>
        <w:rPr>
          <w:spacing w:val="-8"/>
        </w:rPr>
        <w:t xml:space="preserve"> </w:t>
      </w:r>
      <w:r>
        <w:t>Diligent</w:t>
      </w:r>
      <w:r>
        <w:rPr>
          <w:spacing w:val="-7"/>
        </w:rPr>
        <w:t xml:space="preserve"> </w:t>
      </w:r>
      <w:r>
        <w:t>Service</w:t>
      </w:r>
      <w:r>
        <w:rPr>
          <w:spacing w:val="-6"/>
        </w:rPr>
        <w:t xml:space="preserve"> </w:t>
      </w:r>
      <w:r>
        <w:t>as</w:t>
      </w:r>
      <w:r>
        <w:rPr>
          <w:spacing w:val="-4"/>
        </w:rPr>
        <w:t xml:space="preserve"> </w:t>
      </w:r>
      <w:r>
        <w:t>defined</w:t>
      </w:r>
      <w:r>
        <w:rPr>
          <w:spacing w:val="-5"/>
        </w:rPr>
        <w:t xml:space="preserve"> </w:t>
      </w:r>
      <w:r>
        <w:t>above</w:t>
      </w:r>
      <w:r>
        <w:rPr>
          <w:spacing w:val="-2"/>
        </w:rPr>
        <w:t xml:space="preserve"> </w:t>
      </w:r>
      <w:r>
        <w:t>is</w:t>
      </w:r>
      <w:r>
        <w:rPr>
          <w:spacing w:val="-7"/>
        </w:rPr>
        <w:t xml:space="preserve"> </w:t>
      </w:r>
      <w:r>
        <w:t>identified</w:t>
      </w:r>
      <w:r>
        <w:rPr>
          <w:spacing w:val="-5"/>
        </w:rPr>
        <w:t xml:space="preserve"> </w:t>
      </w:r>
      <w:r>
        <w:t>in</w:t>
      </w:r>
      <w:r>
        <w:rPr>
          <w:spacing w:val="-6"/>
        </w:rPr>
        <w:t xml:space="preserve"> </w:t>
      </w:r>
      <w:r>
        <w:t>an Order Form</w:t>
      </w:r>
      <w:r w:rsidR="00074C02">
        <w:t xml:space="preserve"> or is otherwise made available to Client</w:t>
      </w:r>
      <w:r>
        <w:t>:</w:t>
      </w:r>
    </w:p>
    <w:p w14:paraId="7E2506A3" w14:textId="77777777" w:rsidR="006019E5" w:rsidRDefault="006019E5">
      <w:pPr>
        <w:pStyle w:val="BodyText"/>
        <w:spacing w:before="20"/>
        <w:ind w:left="0" w:right="0" w:firstLine="0"/>
        <w:jc w:val="left"/>
      </w:pPr>
    </w:p>
    <w:p w14:paraId="6F504481" w14:textId="5BDFC03D" w:rsidR="007D1F13" w:rsidRDefault="007D1F13" w:rsidP="007D1F13">
      <w:pPr>
        <w:pStyle w:val="ListParagraph"/>
        <w:numPr>
          <w:ilvl w:val="0"/>
          <w:numId w:val="3"/>
        </w:numPr>
        <w:tabs>
          <w:tab w:val="left" w:pos="818"/>
          <w:tab w:val="left" w:pos="820"/>
        </w:tabs>
        <w:spacing w:line="259" w:lineRule="auto"/>
        <w:ind w:right="14"/>
      </w:pPr>
      <w:r>
        <w:t>X</w:t>
      </w:r>
      <w:r>
        <w:t>ML, TXT or CSV data deliveries are accessible via a unique secure static download link</w:t>
      </w:r>
      <w:r>
        <w:t xml:space="preserve"> </w:t>
      </w:r>
      <w:r>
        <w:t>provided which requires basic authentication (username/password), each new update</w:t>
      </w:r>
      <w:r>
        <w:t xml:space="preserve"> </w:t>
      </w:r>
      <w:r>
        <w:t>which is made available is confirmed by sending update notification emails to contacts</w:t>
      </w:r>
      <w:r>
        <w:t xml:space="preserve"> </w:t>
      </w:r>
      <w:r>
        <w:t>specified or in data schema accessed via API by Client which requires an API access token.</w:t>
      </w:r>
    </w:p>
    <w:p w14:paraId="23B29330" w14:textId="036DAF04" w:rsidR="00074C02" w:rsidRDefault="007D1F13" w:rsidP="007D1F13">
      <w:pPr>
        <w:pStyle w:val="ListParagraph"/>
        <w:numPr>
          <w:ilvl w:val="0"/>
          <w:numId w:val="3"/>
        </w:numPr>
        <w:tabs>
          <w:tab w:val="left" w:pos="818"/>
          <w:tab w:val="left" w:pos="820"/>
        </w:tabs>
        <w:spacing w:line="259" w:lineRule="auto"/>
        <w:ind w:right="14"/>
      </w:pPr>
      <w:r>
        <w:t>If the Diligent Service contains data which is delivered via a download link or in data schema accessed via API, the Diligent</w:t>
      </w:r>
      <w:r>
        <w:t xml:space="preserve"> </w:t>
      </w:r>
      <w:r>
        <w:t>Service shall be considered as having been fully delivered by Diligent as soon as the</w:t>
      </w:r>
      <w:r>
        <w:t xml:space="preserve"> </w:t>
      </w:r>
      <w:r>
        <w:t>download link enabling access to the information and the log in information (username</w:t>
      </w:r>
      <w:r>
        <w:t xml:space="preserve"> </w:t>
      </w:r>
      <w:r>
        <w:t>and password) or API access token have been sent by Diligent to Client (or to a third party as identified by the</w:t>
      </w:r>
      <w:r>
        <w:t xml:space="preserve"> </w:t>
      </w:r>
      <w:r>
        <w:t>Client).</w:t>
      </w:r>
      <w:r>
        <w:t xml:space="preserve"> </w:t>
      </w:r>
      <w:r w:rsidR="00074C02">
        <w:t>Diligent uses reasonable efforts to provide correct and complete information to the extent possible, however, Client agrees that any guarantee for correctness or completeness of the data provided by Diligent under the Service is excluded. Any decision taken by the Client in relation to or arising from such data is at the Client’s sole risk. In particular, Diligent neither legally nor factually assumes any counseling function, nor does it make any representation or recommendation with respect to any business relationship of the Client.</w:t>
      </w:r>
    </w:p>
    <w:p w14:paraId="750F572E" w14:textId="244A0B6E" w:rsidR="002C7A76" w:rsidRDefault="00074C02" w:rsidP="007D1F13">
      <w:pPr>
        <w:pStyle w:val="ListParagraph"/>
        <w:numPr>
          <w:ilvl w:val="0"/>
          <w:numId w:val="3"/>
        </w:numPr>
        <w:tabs>
          <w:tab w:val="left" w:pos="818"/>
          <w:tab w:val="left" w:pos="820"/>
        </w:tabs>
        <w:spacing w:line="259" w:lineRule="auto"/>
        <w:ind w:right="14"/>
      </w:pPr>
      <w:r>
        <w:t>Diligent shall not be responsible for any delays in providing a Diligent Service in accordance</w:t>
      </w:r>
      <w:r w:rsidRPr="007D1F13">
        <w:rPr>
          <w:spacing w:val="-5"/>
        </w:rPr>
        <w:t xml:space="preserve"> </w:t>
      </w:r>
      <w:r>
        <w:t>with these</w:t>
      </w:r>
      <w:r w:rsidRPr="007D1F13">
        <w:rPr>
          <w:spacing w:val="-6"/>
        </w:rPr>
        <w:t xml:space="preserve"> </w:t>
      </w:r>
      <w:r>
        <w:t>Product</w:t>
      </w:r>
      <w:r w:rsidRPr="007D1F13">
        <w:rPr>
          <w:spacing w:val="-6"/>
        </w:rPr>
        <w:t xml:space="preserve"> </w:t>
      </w:r>
      <w:r>
        <w:t xml:space="preserve">Terms. Further, Diligent excludes any liability for any loss of data by Client or its Users arising from Client’s and/or its </w:t>
      </w:r>
      <w:proofErr w:type="gramStart"/>
      <w:r>
        <w:t>Users’</w:t>
      </w:r>
      <w:proofErr w:type="gramEnd"/>
      <w:r>
        <w:t xml:space="preserve"> equipment.</w:t>
      </w:r>
    </w:p>
    <w:p w14:paraId="29BEECF8" w14:textId="7EFF9EAC" w:rsidR="006019E5" w:rsidRPr="002C7A76" w:rsidRDefault="00000000" w:rsidP="007D1F13">
      <w:pPr>
        <w:pStyle w:val="ListParagraph"/>
        <w:numPr>
          <w:ilvl w:val="0"/>
          <w:numId w:val="3"/>
        </w:numPr>
        <w:tabs>
          <w:tab w:val="left" w:pos="818"/>
          <w:tab w:val="left" w:pos="820"/>
        </w:tabs>
        <w:spacing w:line="259" w:lineRule="auto"/>
        <w:ind w:right="14"/>
      </w:pPr>
      <w:r>
        <w:t>When</w:t>
      </w:r>
      <w:r w:rsidRPr="007D1F13">
        <w:rPr>
          <w:spacing w:val="-10"/>
        </w:rPr>
        <w:t xml:space="preserve"> </w:t>
      </w:r>
      <w:r>
        <w:t>the</w:t>
      </w:r>
      <w:r w:rsidRPr="007D1F13">
        <w:rPr>
          <w:spacing w:val="-9"/>
        </w:rPr>
        <w:t xml:space="preserve"> </w:t>
      </w:r>
      <w:r>
        <w:t>Diligent</w:t>
      </w:r>
      <w:r w:rsidRPr="007D1F13">
        <w:rPr>
          <w:spacing w:val="-8"/>
        </w:rPr>
        <w:t xml:space="preserve"> </w:t>
      </w:r>
      <w:r>
        <w:t>Service</w:t>
      </w:r>
      <w:r w:rsidRPr="007D1F13">
        <w:rPr>
          <w:spacing w:val="-8"/>
        </w:rPr>
        <w:t xml:space="preserve"> </w:t>
      </w:r>
      <w:r>
        <w:t>is</w:t>
      </w:r>
      <w:r w:rsidRPr="007D1F13">
        <w:rPr>
          <w:spacing w:val="-9"/>
        </w:rPr>
        <w:t xml:space="preserve"> </w:t>
      </w:r>
      <w:r>
        <w:t>defined</w:t>
      </w:r>
      <w:r w:rsidRPr="007D1F13">
        <w:rPr>
          <w:spacing w:val="-9"/>
        </w:rPr>
        <w:t xml:space="preserve"> </w:t>
      </w:r>
      <w:r>
        <w:t>as</w:t>
      </w:r>
      <w:r w:rsidRPr="007D1F13">
        <w:rPr>
          <w:spacing w:val="-8"/>
        </w:rPr>
        <w:t xml:space="preserve"> </w:t>
      </w:r>
      <w:r w:rsidRPr="007D1F13">
        <w:rPr>
          <w:b/>
        </w:rPr>
        <w:t>PEP</w:t>
      </w:r>
      <w:r w:rsidRPr="007D1F13">
        <w:rPr>
          <w:b/>
          <w:spacing w:val="-9"/>
        </w:rPr>
        <w:t xml:space="preserve"> </w:t>
      </w:r>
      <w:r w:rsidRPr="007D1F13">
        <w:rPr>
          <w:b/>
        </w:rPr>
        <w:t>Desk®</w:t>
      </w:r>
      <w:r>
        <w:t>,</w:t>
      </w:r>
      <w:r w:rsidRPr="007D1F13">
        <w:rPr>
          <w:spacing w:val="-9"/>
        </w:rPr>
        <w:t xml:space="preserve"> </w:t>
      </w:r>
      <w:r w:rsidRPr="007D1F13">
        <w:rPr>
          <w:b/>
        </w:rPr>
        <w:t>Sanction</w:t>
      </w:r>
      <w:r w:rsidRPr="007D1F13">
        <w:rPr>
          <w:b/>
          <w:spacing w:val="-10"/>
        </w:rPr>
        <w:t xml:space="preserve"> </w:t>
      </w:r>
      <w:r w:rsidRPr="007D1F13">
        <w:rPr>
          <w:b/>
        </w:rPr>
        <w:t>Lists,</w:t>
      </w:r>
      <w:r w:rsidRPr="007D1F13">
        <w:rPr>
          <w:b/>
          <w:spacing w:val="-7"/>
        </w:rPr>
        <w:t xml:space="preserve"> </w:t>
      </w:r>
      <w:r w:rsidRPr="007D1F13">
        <w:rPr>
          <w:b/>
        </w:rPr>
        <w:t>Watchlists</w:t>
      </w:r>
      <w:r w:rsidRPr="007D1F13">
        <w:rPr>
          <w:b/>
          <w:spacing w:val="-8"/>
        </w:rPr>
        <w:t xml:space="preserve"> </w:t>
      </w:r>
      <w:r w:rsidRPr="007D1F13">
        <w:rPr>
          <w:b/>
        </w:rPr>
        <w:t>&amp;</w:t>
      </w:r>
      <w:r w:rsidRPr="007D1F13">
        <w:rPr>
          <w:b/>
          <w:spacing w:val="-11"/>
        </w:rPr>
        <w:t xml:space="preserve"> </w:t>
      </w:r>
      <w:r w:rsidRPr="007D1F13">
        <w:rPr>
          <w:b/>
        </w:rPr>
        <w:t>Blacklists, State Owner Enterprises (“SOE”)</w:t>
      </w:r>
      <w:r>
        <w:t xml:space="preserve">, </w:t>
      </w:r>
      <w:r w:rsidRPr="007D1F13">
        <w:rPr>
          <w:b/>
        </w:rPr>
        <w:t>PIL List®,</w:t>
      </w:r>
      <w:r w:rsidRPr="007D1F13">
        <w:rPr>
          <w:b/>
          <w:spacing w:val="-1"/>
        </w:rPr>
        <w:t xml:space="preserve"> </w:t>
      </w:r>
      <w:r w:rsidRPr="007D1F13">
        <w:rPr>
          <w:b/>
        </w:rPr>
        <w:t>Compliance Database - Brazil Lists, - Mexico Lists – Colombia Lists</w:t>
      </w:r>
      <w:r w:rsidR="002C7A76" w:rsidRPr="007D1F13">
        <w:rPr>
          <w:b/>
        </w:rPr>
        <w:t xml:space="preserve">, </w:t>
      </w:r>
      <w:r w:rsidR="00C76AE7" w:rsidRPr="007D1F13">
        <w:rPr>
          <w:b/>
        </w:rPr>
        <w:t>Ownership</w:t>
      </w:r>
      <w:r w:rsidR="002C7A76" w:rsidRPr="007D1F13">
        <w:rPr>
          <w:b/>
        </w:rPr>
        <w:t xml:space="preserve"> &amp; Affiliation Network (EU)</w:t>
      </w:r>
      <w:r w:rsidR="008E5C56" w:rsidRPr="007D1F13">
        <w:rPr>
          <w:b/>
        </w:rPr>
        <w:t>, Ownership &amp; Affiliation Network (OFAC)</w:t>
      </w:r>
      <w:r w:rsidR="002C7A76" w:rsidRPr="007D1F13">
        <w:rPr>
          <w:b/>
        </w:rPr>
        <w:t xml:space="preserve"> </w:t>
      </w:r>
      <w:r>
        <w:t>the following usage and pricing definitions shall apply:</w:t>
      </w:r>
      <w:r w:rsidR="002C7A76">
        <w:t xml:space="preserve"> </w:t>
      </w:r>
      <w:r>
        <w:t>“Names to Check” are the total number of names which are checked against a single database within one contractual year, regardless of whether they are checked once or more times during the year.</w:t>
      </w:r>
    </w:p>
    <w:p w14:paraId="2EE84D9C" w14:textId="77777777" w:rsidR="002C7A76" w:rsidRPr="002C7A76" w:rsidRDefault="00000000" w:rsidP="007D1F13">
      <w:pPr>
        <w:pStyle w:val="ListParagraph"/>
        <w:numPr>
          <w:ilvl w:val="0"/>
          <w:numId w:val="3"/>
        </w:numPr>
        <w:tabs>
          <w:tab w:val="left" w:pos="818"/>
          <w:tab w:val="left" w:pos="820"/>
        </w:tabs>
        <w:spacing w:line="259" w:lineRule="auto"/>
      </w:pPr>
      <w:r>
        <w:t>When</w:t>
      </w:r>
      <w:r w:rsidRPr="007D1F13">
        <w:rPr>
          <w:spacing w:val="-5"/>
        </w:rPr>
        <w:t xml:space="preserve"> </w:t>
      </w:r>
      <w:r>
        <w:t>the</w:t>
      </w:r>
      <w:r w:rsidRPr="007D1F13">
        <w:rPr>
          <w:spacing w:val="-9"/>
        </w:rPr>
        <w:t xml:space="preserve"> </w:t>
      </w:r>
      <w:r>
        <w:t>Diligent</w:t>
      </w:r>
      <w:r w:rsidRPr="007D1F13">
        <w:rPr>
          <w:spacing w:val="-4"/>
        </w:rPr>
        <w:t xml:space="preserve"> </w:t>
      </w:r>
      <w:r>
        <w:t>Service</w:t>
      </w:r>
      <w:r w:rsidRPr="007D1F13">
        <w:rPr>
          <w:spacing w:val="-4"/>
        </w:rPr>
        <w:t xml:space="preserve"> </w:t>
      </w:r>
      <w:r>
        <w:t>is</w:t>
      </w:r>
      <w:r w:rsidRPr="007D1F13">
        <w:rPr>
          <w:spacing w:val="-4"/>
        </w:rPr>
        <w:t xml:space="preserve"> </w:t>
      </w:r>
      <w:r>
        <w:t>defined</w:t>
      </w:r>
      <w:r w:rsidRPr="007D1F13">
        <w:rPr>
          <w:spacing w:val="-5"/>
        </w:rPr>
        <w:t xml:space="preserve"> </w:t>
      </w:r>
      <w:r>
        <w:t>as</w:t>
      </w:r>
      <w:r w:rsidRPr="007D1F13">
        <w:rPr>
          <w:spacing w:val="-4"/>
        </w:rPr>
        <w:t xml:space="preserve"> </w:t>
      </w:r>
      <w:r w:rsidRPr="007D1F13">
        <w:rPr>
          <w:b/>
        </w:rPr>
        <w:t>Country</w:t>
      </w:r>
      <w:r w:rsidRPr="007D1F13">
        <w:rPr>
          <w:b/>
          <w:spacing w:val="-6"/>
        </w:rPr>
        <w:t xml:space="preserve"> </w:t>
      </w:r>
      <w:r w:rsidRPr="007D1F13">
        <w:rPr>
          <w:b/>
        </w:rPr>
        <w:t>Risk</w:t>
      </w:r>
      <w:r w:rsidRPr="007D1F13">
        <w:rPr>
          <w:b/>
          <w:spacing w:val="-7"/>
        </w:rPr>
        <w:t xml:space="preserve"> </w:t>
      </w:r>
      <w:r w:rsidRPr="007D1F13">
        <w:rPr>
          <w:b/>
        </w:rPr>
        <w:t>Matrix</w:t>
      </w:r>
      <w:r w:rsidRPr="007D1F13">
        <w:rPr>
          <w:b/>
          <w:spacing w:val="-4"/>
        </w:rPr>
        <w:t xml:space="preserve"> </w:t>
      </w:r>
      <w:r w:rsidRPr="007D1F13">
        <w:rPr>
          <w:b/>
        </w:rPr>
        <w:t>or</w:t>
      </w:r>
      <w:r w:rsidRPr="007D1F13">
        <w:rPr>
          <w:b/>
          <w:spacing w:val="-6"/>
        </w:rPr>
        <w:t xml:space="preserve"> </w:t>
      </w:r>
      <w:r w:rsidRPr="007D1F13">
        <w:rPr>
          <w:b/>
        </w:rPr>
        <w:t>Country</w:t>
      </w:r>
      <w:r w:rsidRPr="007D1F13">
        <w:rPr>
          <w:b/>
          <w:spacing w:val="-6"/>
        </w:rPr>
        <w:t xml:space="preserve"> </w:t>
      </w:r>
      <w:r w:rsidRPr="007D1F13">
        <w:rPr>
          <w:b/>
        </w:rPr>
        <w:t>Rating</w:t>
      </w:r>
      <w:r w:rsidRPr="007D1F13">
        <w:rPr>
          <w:b/>
          <w:spacing w:val="-9"/>
        </w:rPr>
        <w:t xml:space="preserve"> </w:t>
      </w:r>
      <w:r w:rsidRPr="007D1F13">
        <w:rPr>
          <w:b/>
        </w:rPr>
        <w:t>Model</w:t>
      </w:r>
      <w:r w:rsidRPr="007D1F13">
        <w:rPr>
          <w:b/>
          <w:spacing w:val="-2"/>
        </w:rPr>
        <w:t xml:space="preserve"> </w:t>
      </w:r>
      <w:r>
        <w:t>the following usage and pricing definitions shall apply: “</w:t>
      </w:r>
      <w:r w:rsidR="002C7A76">
        <w:t xml:space="preserve">3 </w:t>
      </w:r>
      <w:r>
        <w:t>Updates</w:t>
      </w:r>
      <w:r w:rsidRPr="007D1F13">
        <w:rPr>
          <w:spacing w:val="-7"/>
        </w:rPr>
        <w:t xml:space="preserve"> </w:t>
      </w:r>
      <w:r>
        <w:t>per</w:t>
      </w:r>
      <w:r w:rsidRPr="007D1F13">
        <w:rPr>
          <w:spacing w:val="-6"/>
        </w:rPr>
        <w:t xml:space="preserve"> </w:t>
      </w:r>
      <w:r>
        <w:t>Year”</w:t>
      </w:r>
      <w:r w:rsidRPr="007D1F13">
        <w:rPr>
          <w:spacing w:val="-2"/>
        </w:rPr>
        <w:t xml:space="preserve"> </w:t>
      </w:r>
      <w:r>
        <w:t>are</w:t>
      </w:r>
      <w:r w:rsidRPr="007D1F13">
        <w:rPr>
          <w:spacing w:val="-6"/>
        </w:rPr>
        <w:t xml:space="preserve"> </w:t>
      </w:r>
      <w:r>
        <w:t>defined</w:t>
      </w:r>
      <w:r w:rsidRPr="007D1F13">
        <w:rPr>
          <w:spacing w:val="-5"/>
        </w:rPr>
        <w:t xml:space="preserve"> </w:t>
      </w:r>
      <w:r>
        <w:t>as</w:t>
      </w:r>
      <w:r w:rsidRPr="007D1F13">
        <w:rPr>
          <w:spacing w:val="-7"/>
        </w:rPr>
        <w:t xml:space="preserve"> </w:t>
      </w:r>
      <w:r>
        <w:t>the</w:t>
      </w:r>
      <w:r w:rsidRPr="007D1F13">
        <w:rPr>
          <w:spacing w:val="-9"/>
        </w:rPr>
        <w:t xml:space="preserve"> </w:t>
      </w:r>
      <w:r>
        <w:t>maximum</w:t>
      </w:r>
      <w:r w:rsidRPr="007D1F13">
        <w:rPr>
          <w:spacing w:val="-6"/>
        </w:rPr>
        <w:t xml:space="preserve"> </w:t>
      </w:r>
      <w:r>
        <w:t>number</w:t>
      </w:r>
      <w:r w:rsidRPr="007D1F13">
        <w:rPr>
          <w:spacing w:val="-6"/>
        </w:rPr>
        <w:t xml:space="preserve"> </w:t>
      </w:r>
      <w:r>
        <w:t>of</w:t>
      </w:r>
      <w:r w:rsidRPr="007D1F13">
        <w:rPr>
          <w:spacing w:val="-7"/>
        </w:rPr>
        <w:t xml:space="preserve"> </w:t>
      </w:r>
      <w:r>
        <w:t>updates</w:t>
      </w:r>
      <w:r w:rsidRPr="007D1F13">
        <w:rPr>
          <w:spacing w:val="-7"/>
        </w:rPr>
        <w:t xml:space="preserve"> </w:t>
      </w:r>
      <w:r>
        <w:t>possible</w:t>
      </w:r>
      <w:r w:rsidRPr="007D1F13">
        <w:rPr>
          <w:spacing w:val="-4"/>
        </w:rPr>
        <w:t xml:space="preserve"> </w:t>
      </w:r>
      <w:r>
        <w:t>in</w:t>
      </w:r>
      <w:r w:rsidRPr="007D1F13">
        <w:rPr>
          <w:spacing w:val="-8"/>
        </w:rPr>
        <w:t xml:space="preserve"> </w:t>
      </w:r>
      <w:r>
        <w:t>any</w:t>
      </w:r>
      <w:r w:rsidRPr="007D1F13">
        <w:rPr>
          <w:spacing w:val="-4"/>
        </w:rPr>
        <w:t xml:space="preserve"> </w:t>
      </w:r>
      <w:r>
        <w:t xml:space="preserve">given </w:t>
      </w:r>
      <w:r w:rsidRPr="007D1F13">
        <w:rPr>
          <w:spacing w:val="-2"/>
        </w:rPr>
        <w:t>year.</w:t>
      </w:r>
    </w:p>
    <w:p w14:paraId="67FF7852" w14:textId="77777777" w:rsidR="00204981" w:rsidRDefault="00000000" w:rsidP="007D1F13">
      <w:pPr>
        <w:pStyle w:val="ListParagraph"/>
        <w:numPr>
          <w:ilvl w:val="0"/>
          <w:numId w:val="3"/>
        </w:numPr>
        <w:tabs>
          <w:tab w:val="left" w:pos="818"/>
          <w:tab w:val="left" w:pos="820"/>
        </w:tabs>
        <w:spacing w:before="41" w:line="259" w:lineRule="auto"/>
        <w:ind w:right="18"/>
      </w:pPr>
      <w:r>
        <w:t xml:space="preserve">When the Diligent Service is defined as </w:t>
      </w:r>
      <w:r w:rsidRPr="007D1F13">
        <w:rPr>
          <w:b/>
        </w:rPr>
        <w:t xml:space="preserve">Research Kiosk </w:t>
      </w:r>
      <w:r>
        <w:t>the following usage and pricing definitions shall apply:</w:t>
      </w:r>
      <w:r w:rsidR="002C7A76">
        <w:t xml:space="preserve"> </w:t>
      </w:r>
      <w:r>
        <w:t>“</w:t>
      </w:r>
      <w:r w:rsidR="002C7A76">
        <w:t xml:space="preserve">Unlimited </w:t>
      </w:r>
      <w:r>
        <w:t>Searches</w:t>
      </w:r>
      <w:r w:rsidRPr="007D1F13">
        <w:rPr>
          <w:spacing w:val="-5"/>
        </w:rPr>
        <w:t xml:space="preserve"> </w:t>
      </w:r>
      <w:r>
        <w:t>per</w:t>
      </w:r>
      <w:r w:rsidRPr="007D1F13">
        <w:rPr>
          <w:spacing w:val="-2"/>
        </w:rPr>
        <w:t xml:space="preserve"> </w:t>
      </w:r>
      <w:r>
        <w:t>Year”</w:t>
      </w:r>
      <w:r w:rsidRPr="007D1F13">
        <w:rPr>
          <w:spacing w:val="-3"/>
        </w:rPr>
        <w:t xml:space="preserve"> </w:t>
      </w:r>
      <w:r>
        <w:t>are</w:t>
      </w:r>
      <w:r w:rsidRPr="007D1F13">
        <w:rPr>
          <w:spacing w:val="-2"/>
        </w:rPr>
        <w:t xml:space="preserve"> </w:t>
      </w:r>
      <w:r>
        <w:t>defined</w:t>
      </w:r>
      <w:r w:rsidRPr="007D1F13">
        <w:rPr>
          <w:spacing w:val="-2"/>
        </w:rPr>
        <w:t xml:space="preserve"> </w:t>
      </w:r>
      <w:r>
        <w:t>as</w:t>
      </w:r>
      <w:r w:rsidRPr="007D1F13">
        <w:rPr>
          <w:spacing w:val="-1"/>
        </w:rPr>
        <w:t xml:space="preserve"> </w:t>
      </w:r>
      <w:r>
        <w:t>the</w:t>
      </w:r>
      <w:r w:rsidRPr="007D1F13">
        <w:rPr>
          <w:spacing w:val="-4"/>
        </w:rPr>
        <w:t xml:space="preserve"> </w:t>
      </w:r>
      <w:r>
        <w:t>maximum</w:t>
      </w:r>
      <w:r w:rsidRPr="007D1F13">
        <w:rPr>
          <w:spacing w:val="-1"/>
        </w:rPr>
        <w:t xml:space="preserve"> </w:t>
      </w:r>
      <w:r>
        <w:lastRenderedPageBreak/>
        <w:t>number</w:t>
      </w:r>
      <w:r w:rsidRPr="007D1F13">
        <w:rPr>
          <w:spacing w:val="-4"/>
        </w:rPr>
        <w:t xml:space="preserve"> </w:t>
      </w:r>
      <w:r>
        <w:t>of</w:t>
      </w:r>
      <w:r w:rsidRPr="007D1F13">
        <w:rPr>
          <w:spacing w:val="-2"/>
        </w:rPr>
        <w:t xml:space="preserve"> </w:t>
      </w:r>
      <w:r>
        <w:t>searches</w:t>
      </w:r>
      <w:r w:rsidRPr="007D1F13">
        <w:rPr>
          <w:spacing w:val="-4"/>
        </w:rPr>
        <w:t xml:space="preserve"> </w:t>
      </w:r>
      <w:r>
        <w:t>possible in any given year</w:t>
      </w:r>
      <w:r w:rsidR="002C7A76">
        <w:t xml:space="preserve"> per single user login.</w:t>
      </w:r>
    </w:p>
    <w:p w14:paraId="188132DE" w14:textId="77777777" w:rsidR="00204981" w:rsidRDefault="00000000" w:rsidP="007D1F13">
      <w:pPr>
        <w:pStyle w:val="ListParagraph"/>
        <w:numPr>
          <w:ilvl w:val="0"/>
          <w:numId w:val="3"/>
        </w:numPr>
        <w:tabs>
          <w:tab w:val="left" w:pos="818"/>
          <w:tab w:val="left" w:pos="820"/>
        </w:tabs>
        <w:spacing w:before="41" w:line="259" w:lineRule="auto"/>
        <w:ind w:right="18"/>
      </w:pPr>
      <w:r>
        <w:t>When</w:t>
      </w:r>
      <w:r w:rsidRPr="007D1F13">
        <w:rPr>
          <w:spacing w:val="-12"/>
        </w:rPr>
        <w:t xml:space="preserve"> </w:t>
      </w:r>
      <w:r>
        <w:t>Diligent</w:t>
      </w:r>
      <w:r w:rsidRPr="007D1F13">
        <w:rPr>
          <w:spacing w:val="-11"/>
        </w:rPr>
        <w:t xml:space="preserve"> </w:t>
      </w:r>
      <w:r>
        <w:t>Service</w:t>
      </w:r>
      <w:r w:rsidRPr="007D1F13">
        <w:rPr>
          <w:spacing w:val="-11"/>
        </w:rPr>
        <w:t xml:space="preserve"> </w:t>
      </w:r>
      <w:r>
        <w:t>includes</w:t>
      </w:r>
      <w:r w:rsidRPr="007D1F13">
        <w:rPr>
          <w:spacing w:val="-11"/>
        </w:rPr>
        <w:t xml:space="preserve"> </w:t>
      </w:r>
      <w:r>
        <w:t>or</w:t>
      </w:r>
      <w:r w:rsidRPr="007D1F13">
        <w:rPr>
          <w:spacing w:val="-12"/>
        </w:rPr>
        <w:t xml:space="preserve"> </w:t>
      </w:r>
      <w:r>
        <w:t>facilitates</w:t>
      </w:r>
      <w:r w:rsidRPr="007D1F13">
        <w:rPr>
          <w:spacing w:val="-11"/>
        </w:rPr>
        <w:t xml:space="preserve"> </w:t>
      </w:r>
      <w:r>
        <w:t>the</w:t>
      </w:r>
      <w:r w:rsidRPr="007D1F13">
        <w:rPr>
          <w:spacing w:val="-11"/>
        </w:rPr>
        <w:t xml:space="preserve"> </w:t>
      </w:r>
      <w:r>
        <w:t>Client’s</w:t>
      </w:r>
      <w:r w:rsidRPr="007D1F13">
        <w:rPr>
          <w:spacing w:val="-11"/>
        </w:rPr>
        <w:t xml:space="preserve"> </w:t>
      </w:r>
      <w:r>
        <w:t>access</w:t>
      </w:r>
      <w:r w:rsidRPr="007D1F13">
        <w:rPr>
          <w:spacing w:val="-11"/>
        </w:rPr>
        <w:t xml:space="preserve"> </w:t>
      </w:r>
      <w:r>
        <w:t>to</w:t>
      </w:r>
      <w:r w:rsidRPr="007D1F13">
        <w:rPr>
          <w:spacing w:val="-10"/>
        </w:rPr>
        <w:t xml:space="preserve"> </w:t>
      </w:r>
      <w:r>
        <w:t>and</w:t>
      </w:r>
      <w:r w:rsidRPr="007D1F13">
        <w:rPr>
          <w:spacing w:val="-12"/>
        </w:rPr>
        <w:t xml:space="preserve"> </w:t>
      </w:r>
      <w:r>
        <w:t>use</w:t>
      </w:r>
      <w:r w:rsidRPr="007D1F13">
        <w:rPr>
          <w:spacing w:val="-11"/>
        </w:rPr>
        <w:t xml:space="preserve"> </w:t>
      </w:r>
      <w:r>
        <w:t>Snowflake</w:t>
      </w:r>
      <w:r w:rsidRPr="007D1F13">
        <w:rPr>
          <w:spacing w:val="-11"/>
        </w:rPr>
        <w:t xml:space="preserve"> </w:t>
      </w:r>
      <w:r>
        <w:t>Inc.’s services and platform, the terms and conditions of the Snowflake Additional Product Terms</w:t>
      </w:r>
      <w:r w:rsidRPr="007D1F13">
        <w:rPr>
          <w:spacing w:val="40"/>
        </w:rPr>
        <w:t xml:space="preserve"> </w:t>
      </w:r>
      <w:r>
        <w:t>are applicable to the Client’s use and access.</w:t>
      </w:r>
    </w:p>
    <w:p w14:paraId="4735CAD3" w14:textId="27DF45AD" w:rsidR="00F91165" w:rsidRDefault="00F91165" w:rsidP="007D1F13">
      <w:pPr>
        <w:pStyle w:val="ListParagraph"/>
        <w:numPr>
          <w:ilvl w:val="0"/>
          <w:numId w:val="3"/>
        </w:numPr>
        <w:tabs>
          <w:tab w:val="left" w:pos="818"/>
          <w:tab w:val="left" w:pos="820"/>
        </w:tabs>
        <w:spacing w:before="41" w:line="259" w:lineRule="auto"/>
        <w:ind w:right="18"/>
      </w:pPr>
      <w:r w:rsidRPr="00F91165">
        <w:t>Upon termination</w:t>
      </w:r>
      <w:r>
        <w:t xml:space="preserve"> or expiry of the Diligent Service</w:t>
      </w:r>
      <w:r w:rsidRPr="00F91165">
        <w:t xml:space="preserve">, </w:t>
      </w:r>
      <w:proofErr w:type="gramStart"/>
      <w:r w:rsidRPr="00F91165">
        <w:t>Client</w:t>
      </w:r>
      <w:proofErr w:type="gramEnd"/>
      <w:r w:rsidRPr="00F91165">
        <w:t xml:space="preserve"> shall cease using all data obtained through the Diligent Service. Notwithstanding the foregoing, Client shall not be required to destroy analyses or reports created by Client for Client’s internal business purposes which contain data from the Reporting, News, and Education Service that it is required to maintain for legal or regulatory purposes.</w:t>
      </w:r>
    </w:p>
    <w:p w14:paraId="4B19F63A" w14:textId="71D521DE" w:rsidR="005523A8" w:rsidRDefault="005523A8" w:rsidP="007D1F13">
      <w:pPr>
        <w:pStyle w:val="ListParagraph"/>
        <w:numPr>
          <w:ilvl w:val="0"/>
          <w:numId w:val="3"/>
        </w:numPr>
        <w:tabs>
          <w:tab w:val="left" w:pos="818"/>
          <w:tab w:val="left" w:pos="820"/>
        </w:tabs>
        <w:spacing w:before="41" w:line="259" w:lineRule="auto"/>
        <w:ind w:right="18"/>
      </w:pPr>
      <w:r>
        <w:t xml:space="preserve">Diligent shall use reasonable endeavors to deliver the Diligent Services in accordance with the following </w:t>
      </w:r>
      <w:r w:rsidR="0073127F">
        <w:t>delivery terms</w:t>
      </w:r>
      <w:r>
        <w:t>:</w:t>
      </w:r>
    </w:p>
    <w:p w14:paraId="3D9558C7" w14:textId="77777777" w:rsidR="00204981" w:rsidRDefault="00204981" w:rsidP="00204981">
      <w:pPr>
        <w:tabs>
          <w:tab w:val="left" w:pos="818"/>
          <w:tab w:val="left" w:pos="820"/>
        </w:tabs>
        <w:spacing w:before="41" w:line="259" w:lineRule="auto"/>
        <w:ind w:right="18"/>
        <w:jc w:val="both"/>
      </w:pPr>
    </w:p>
    <w:tbl>
      <w:tblPr>
        <w:tblStyle w:val="TableGrid"/>
        <w:tblpPr w:leftFromText="180" w:rightFromText="180" w:vertAnchor="text" w:horzAnchor="page" w:tblpX="2453" w:tblpY="270"/>
        <w:tblW w:w="0" w:type="auto"/>
        <w:tblLook w:val="04A0" w:firstRow="1" w:lastRow="0" w:firstColumn="1" w:lastColumn="0" w:noHBand="0" w:noVBand="1"/>
      </w:tblPr>
      <w:tblGrid>
        <w:gridCol w:w="3854"/>
        <w:gridCol w:w="3855"/>
      </w:tblGrid>
      <w:tr w:rsidR="00204981" w14:paraId="1F394EA2" w14:textId="77777777" w:rsidTr="00204981">
        <w:trPr>
          <w:trHeight w:val="506"/>
        </w:trPr>
        <w:tc>
          <w:tcPr>
            <w:tcW w:w="3854" w:type="dxa"/>
            <w:shd w:val="clear" w:color="auto" w:fill="DBE5F1" w:themeFill="accent1" w:themeFillTint="33"/>
          </w:tcPr>
          <w:p w14:paraId="648EC3DC" w14:textId="77777777" w:rsidR="00204981" w:rsidRPr="00204981" w:rsidRDefault="00204981" w:rsidP="00204981">
            <w:pPr>
              <w:tabs>
                <w:tab w:val="left" w:pos="818"/>
                <w:tab w:val="left" w:pos="820"/>
              </w:tabs>
              <w:spacing w:before="41" w:line="259" w:lineRule="auto"/>
              <w:ind w:right="18"/>
              <w:jc w:val="center"/>
              <w:rPr>
                <w:b/>
                <w:bCs/>
              </w:rPr>
            </w:pPr>
            <w:r w:rsidRPr="00204981">
              <w:rPr>
                <w:b/>
                <w:bCs/>
              </w:rPr>
              <w:t>Service</w:t>
            </w:r>
          </w:p>
        </w:tc>
        <w:tc>
          <w:tcPr>
            <w:tcW w:w="3855" w:type="dxa"/>
            <w:shd w:val="clear" w:color="auto" w:fill="DBE5F1" w:themeFill="accent1" w:themeFillTint="33"/>
          </w:tcPr>
          <w:p w14:paraId="53FCAB02" w14:textId="4FFA5BDF" w:rsidR="00204981" w:rsidRPr="00204981" w:rsidRDefault="00204981" w:rsidP="00204981">
            <w:pPr>
              <w:tabs>
                <w:tab w:val="left" w:pos="818"/>
                <w:tab w:val="left" w:pos="820"/>
              </w:tabs>
              <w:spacing w:before="41" w:line="259" w:lineRule="auto"/>
              <w:ind w:right="18"/>
              <w:jc w:val="center"/>
              <w:rPr>
                <w:b/>
                <w:bCs/>
              </w:rPr>
            </w:pPr>
            <w:r>
              <w:rPr>
                <w:b/>
                <w:bCs/>
              </w:rPr>
              <w:t>Delivery Terms</w:t>
            </w:r>
          </w:p>
        </w:tc>
      </w:tr>
      <w:tr w:rsidR="00204981" w14:paraId="6239C81D" w14:textId="77777777" w:rsidTr="00204981">
        <w:trPr>
          <w:trHeight w:val="506"/>
        </w:trPr>
        <w:tc>
          <w:tcPr>
            <w:tcW w:w="3854" w:type="dxa"/>
          </w:tcPr>
          <w:p w14:paraId="748A6DB2" w14:textId="3A6F6BAC" w:rsidR="00204981" w:rsidRPr="00204981" w:rsidRDefault="00204981" w:rsidP="00204981">
            <w:pPr>
              <w:tabs>
                <w:tab w:val="left" w:pos="818"/>
                <w:tab w:val="left" w:pos="820"/>
              </w:tabs>
              <w:spacing w:before="41" w:line="259" w:lineRule="auto"/>
              <w:ind w:right="18"/>
              <w:jc w:val="both"/>
              <w:rPr>
                <w:sz w:val="20"/>
                <w:szCs w:val="20"/>
              </w:rPr>
            </w:pPr>
            <w:r w:rsidRPr="00204981">
              <w:rPr>
                <w:b/>
                <w:bCs/>
                <w:sz w:val="20"/>
                <w:szCs w:val="20"/>
              </w:rPr>
              <w:t>PEP Desk®</w:t>
            </w:r>
          </w:p>
        </w:tc>
        <w:tc>
          <w:tcPr>
            <w:tcW w:w="3855" w:type="dxa"/>
          </w:tcPr>
          <w:p w14:paraId="7B133AAB" w14:textId="77777777"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twice a month</w:t>
            </w:r>
          </w:p>
          <w:p w14:paraId="7D9F457D" w14:textId="77777777" w:rsidR="00204981" w:rsidRPr="00204981" w:rsidRDefault="00204981" w:rsidP="00204981">
            <w:pPr>
              <w:tabs>
                <w:tab w:val="left" w:pos="818"/>
                <w:tab w:val="left" w:pos="820"/>
              </w:tabs>
              <w:spacing w:before="41" w:line="259" w:lineRule="auto"/>
              <w:ind w:right="18"/>
              <w:jc w:val="both"/>
              <w:rPr>
                <w:sz w:val="20"/>
                <w:szCs w:val="20"/>
              </w:rPr>
            </w:pPr>
          </w:p>
        </w:tc>
      </w:tr>
      <w:tr w:rsidR="00204981" w14:paraId="12F38065" w14:textId="77777777" w:rsidTr="00204981">
        <w:trPr>
          <w:trHeight w:val="506"/>
        </w:trPr>
        <w:tc>
          <w:tcPr>
            <w:tcW w:w="3854" w:type="dxa"/>
          </w:tcPr>
          <w:p w14:paraId="5DBEFC8A" w14:textId="4A7ED1EC" w:rsidR="00204981" w:rsidRPr="00204981" w:rsidRDefault="00204981" w:rsidP="00204981">
            <w:pPr>
              <w:tabs>
                <w:tab w:val="left" w:pos="818"/>
                <w:tab w:val="left" w:pos="820"/>
              </w:tabs>
              <w:spacing w:before="41" w:line="259" w:lineRule="auto"/>
              <w:ind w:right="18"/>
              <w:jc w:val="both"/>
              <w:rPr>
                <w:sz w:val="20"/>
                <w:szCs w:val="20"/>
              </w:rPr>
            </w:pPr>
            <w:r w:rsidRPr="00204981">
              <w:rPr>
                <w:b/>
                <w:bCs/>
                <w:sz w:val="20"/>
                <w:szCs w:val="20"/>
              </w:rPr>
              <w:t>PIL List®</w:t>
            </w:r>
          </w:p>
        </w:tc>
        <w:tc>
          <w:tcPr>
            <w:tcW w:w="3855" w:type="dxa"/>
          </w:tcPr>
          <w:p w14:paraId="33384341" w14:textId="087CE42F"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monthly (only if there is any update)</w:t>
            </w:r>
          </w:p>
          <w:p w14:paraId="02EB2B94" w14:textId="77777777" w:rsidR="00204981" w:rsidRPr="00204981" w:rsidRDefault="00204981" w:rsidP="00204981">
            <w:pPr>
              <w:tabs>
                <w:tab w:val="left" w:pos="818"/>
                <w:tab w:val="left" w:pos="820"/>
              </w:tabs>
              <w:spacing w:before="41" w:line="259" w:lineRule="auto"/>
              <w:ind w:right="18"/>
              <w:jc w:val="both"/>
              <w:rPr>
                <w:sz w:val="20"/>
                <w:szCs w:val="20"/>
              </w:rPr>
            </w:pPr>
          </w:p>
        </w:tc>
      </w:tr>
      <w:tr w:rsidR="00204981" w14:paraId="16444584" w14:textId="77777777" w:rsidTr="00204981">
        <w:trPr>
          <w:trHeight w:val="506"/>
        </w:trPr>
        <w:tc>
          <w:tcPr>
            <w:tcW w:w="3854" w:type="dxa"/>
          </w:tcPr>
          <w:p w14:paraId="22915BF1" w14:textId="69A5B4FF" w:rsidR="00204981" w:rsidRPr="00204981" w:rsidRDefault="00204981" w:rsidP="00204981">
            <w:pPr>
              <w:tabs>
                <w:tab w:val="left" w:pos="818"/>
                <w:tab w:val="left" w:pos="820"/>
              </w:tabs>
              <w:spacing w:before="41" w:line="259" w:lineRule="auto"/>
              <w:ind w:right="18"/>
              <w:jc w:val="both"/>
              <w:rPr>
                <w:sz w:val="20"/>
                <w:szCs w:val="20"/>
              </w:rPr>
            </w:pPr>
            <w:r w:rsidRPr="00204981">
              <w:rPr>
                <w:b/>
                <w:bCs/>
                <w:sz w:val="20"/>
                <w:szCs w:val="20"/>
              </w:rPr>
              <w:t>Watchlists &amp; Blacklists</w:t>
            </w:r>
          </w:p>
        </w:tc>
        <w:tc>
          <w:tcPr>
            <w:tcW w:w="3855" w:type="dxa"/>
          </w:tcPr>
          <w:p w14:paraId="06E4DF5F" w14:textId="77777777"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weekly (predefined subset of lists) + quarterly</w:t>
            </w:r>
          </w:p>
          <w:p w14:paraId="3D80EE57" w14:textId="77777777" w:rsidR="00204981" w:rsidRPr="00204981" w:rsidRDefault="00204981" w:rsidP="00204981">
            <w:pPr>
              <w:tabs>
                <w:tab w:val="left" w:pos="818"/>
                <w:tab w:val="left" w:pos="820"/>
              </w:tabs>
              <w:spacing w:before="41" w:line="259" w:lineRule="auto"/>
              <w:ind w:right="18"/>
              <w:jc w:val="both"/>
              <w:rPr>
                <w:sz w:val="20"/>
                <w:szCs w:val="20"/>
              </w:rPr>
            </w:pPr>
          </w:p>
        </w:tc>
      </w:tr>
      <w:tr w:rsidR="00204981" w14:paraId="4F0EB4E4" w14:textId="77777777" w:rsidTr="00204981">
        <w:trPr>
          <w:trHeight w:val="506"/>
        </w:trPr>
        <w:tc>
          <w:tcPr>
            <w:tcW w:w="3854" w:type="dxa"/>
          </w:tcPr>
          <w:p w14:paraId="542B9E7C" w14:textId="344AA26C" w:rsidR="00204981" w:rsidRPr="00204981" w:rsidRDefault="00204981" w:rsidP="00204981">
            <w:pPr>
              <w:tabs>
                <w:tab w:val="left" w:pos="818"/>
                <w:tab w:val="left" w:pos="820"/>
              </w:tabs>
              <w:spacing w:before="41" w:line="259" w:lineRule="auto"/>
              <w:ind w:right="18"/>
              <w:jc w:val="both"/>
              <w:rPr>
                <w:sz w:val="20"/>
                <w:szCs w:val="20"/>
              </w:rPr>
            </w:pPr>
            <w:r w:rsidRPr="00204981">
              <w:rPr>
                <w:b/>
                <w:bCs/>
                <w:sz w:val="20"/>
                <w:szCs w:val="20"/>
              </w:rPr>
              <w:t>Sanction Lists</w:t>
            </w:r>
          </w:p>
        </w:tc>
        <w:tc>
          <w:tcPr>
            <w:tcW w:w="3855" w:type="dxa"/>
          </w:tcPr>
          <w:p w14:paraId="0F8BDEF7" w14:textId="77777777"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daily (Monday to Friday – Swiss working days)</w:t>
            </w:r>
          </w:p>
          <w:p w14:paraId="286BEA78" w14:textId="77777777" w:rsidR="00204981" w:rsidRPr="00204981" w:rsidRDefault="00204981" w:rsidP="00204981">
            <w:pPr>
              <w:tabs>
                <w:tab w:val="left" w:pos="818"/>
                <w:tab w:val="left" w:pos="820"/>
              </w:tabs>
              <w:spacing w:before="41" w:line="259" w:lineRule="auto"/>
              <w:ind w:right="18"/>
              <w:jc w:val="both"/>
              <w:rPr>
                <w:sz w:val="20"/>
                <w:szCs w:val="20"/>
              </w:rPr>
            </w:pPr>
          </w:p>
        </w:tc>
      </w:tr>
      <w:tr w:rsidR="00204981" w14:paraId="4DD6BB4B" w14:textId="77777777" w:rsidTr="00204981">
        <w:trPr>
          <w:trHeight w:val="506"/>
        </w:trPr>
        <w:tc>
          <w:tcPr>
            <w:tcW w:w="3854" w:type="dxa"/>
          </w:tcPr>
          <w:p w14:paraId="023E6A9F" w14:textId="7966F081" w:rsidR="00204981" w:rsidRPr="00204981" w:rsidRDefault="00204981" w:rsidP="00204981">
            <w:pPr>
              <w:tabs>
                <w:tab w:val="left" w:pos="818"/>
                <w:tab w:val="left" w:pos="820"/>
              </w:tabs>
              <w:spacing w:before="41" w:line="259" w:lineRule="auto"/>
              <w:ind w:right="18"/>
              <w:jc w:val="both"/>
              <w:rPr>
                <w:sz w:val="20"/>
                <w:szCs w:val="20"/>
              </w:rPr>
            </w:pPr>
            <w:r w:rsidRPr="00204981">
              <w:rPr>
                <w:b/>
                <w:bCs/>
                <w:sz w:val="20"/>
                <w:szCs w:val="20"/>
              </w:rPr>
              <w:t>State Owned Entities (SOE)</w:t>
            </w:r>
          </w:p>
        </w:tc>
        <w:tc>
          <w:tcPr>
            <w:tcW w:w="3855" w:type="dxa"/>
          </w:tcPr>
          <w:p w14:paraId="4A7AF424" w14:textId="77777777"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quarterly</w:t>
            </w:r>
          </w:p>
          <w:p w14:paraId="2F8CF66F" w14:textId="77777777" w:rsidR="00204981" w:rsidRPr="00204981" w:rsidRDefault="00204981" w:rsidP="00204981">
            <w:pPr>
              <w:tabs>
                <w:tab w:val="left" w:pos="818"/>
                <w:tab w:val="left" w:pos="820"/>
              </w:tabs>
              <w:spacing w:before="41" w:line="259" w:lineRule="auto"/>
              <w:ind w:right="18"/>
              <w:jc w:val="both"/>
              <w:rPr>
                <w:sz w:val="20"/>
                <w:szCs w:val="20"/>
              </w:rPr>
            </w:pPr>
          </w:p>
        </w:tc>
      </w:tr>
      <w:tr w:rsidR="00204981" w14:paraId="77D16724" w14:textId="77777777" w:rsidTr="00204981">
        <w:trPr>
          <w:trHeight w:val="506"/>
        </w:trPr>
        <w:tc>
          <w:tcPr>
            <w:tcW w:w="3854" w:type="dxa"/>
          </w:tcPr>
          <w:p w14:paraId="2F3C8906" w14:textId="2D6A9073" w:rsidR="00204981" w:rsidRPr="00204981" w:rsidRDefault="00204981" w:rsidP="00204981">
            <w:pPr>
              <w:tabs>
                <w:tab w:val="left" w:pos="818"/>
                <w:tab w:val="left" w:pos="820"/>
              </w:tabs>
              <w:spacing w:before="41" w:line="259" w:lineRule="auto"/>
              <w:ind w:right="18"/>
              <w:jc w:val="both"/>
              <w:rPr>
                <w:b/>
                <w:bCs/>
                <w:sz w:val="20"/>
                <w:szCs w:val="20"/>
              </w:rPr>
            </w:pPr>
            <w:r w:rsidRPr="00204981">
              <w:rPr>
                <w:b/>
                <w:sz w:val="20"/>
                <w:szCs w:val="20"/>
              </w:rPr>
              <w:t>Compliance Database - Brazil Lists</w:t>
            </w:r>
          </w:p>
        </w:tc>
        <w:tc>
          <w:tcPr>
            <w:tcW w:w="3855" w:type="dxa"/>
          </w:tcPr>
          <w:p w14:paraId="6E8D8FC5" w14:textId="77777777"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 xml:space="preserve">Updates to be delivered monthly (predefined subset of lists) + twice a year </w:t>
            </w:r>
          </w:p>
          <w:p w14:paraId="40618252" w14:textId="77777777" w:rsidR="00204981" w:rsidRPr="00204981" w:rsidRDefault="00204981" w:rsidP="00204981">
            <w:pPr>
              <w:tabs>
                <w:tab w:val="left" w:pos="818"/>
                <w:tab w:val="left" w:pos="820"/>
              </w:tabs>
              <w:spacing w:before="41" w:line="259" w:lineRule="auto"/>
              <w:ind w:right="18"/>
              <w:rPr>
                <w:sz w:val="20"/>
                <w:szCs w:val="20"/>
              </w:rPr>
            </w:pPr>
          </w:p>
        </w:tc>
      </w:tr>
      <w:tr w:rsidR="00204981" w14:paraId="7D67605F" w14:textId="77777777" w:rsidTr="00204981">
        <w:trPr>
          <w:trHeight w:val="506"/>
        </w:trPr>
        <w:tc>
          <w:tcPr>
            <w:tcW w:w="3854" w:type="dxa"/>
          </w:tcPr>
          <w:p w14:paraId="18FB815F" w14:textId="46D434C3" w:rsidR="00204981" w:rsidRPr="00204981" w:rsidRDefault="00204981" w:rsidP="00204981">
            <w:pPr>
              <w:tabs>
                <w:tab w:val="left" w:pos="818"/>
                <w:tab w:val="left" w:pos="820"/>
              </w:tabs>
              <w:spacing w:before="41" w:line="259" w:lineRule="auto"/>
              <w:ind w:right="18"/>
              <w:jc w:val="both"/>
              <w:rPr>
                <w:b/>
                <w:bCs/>
                <w:sz w:val="20"/>
                <w:szCs w:val="20"/>
              </w:rPr>
            </w:pPr>
            <w:r w:rsidRPr="00204981">
              <w:rPr>
                <w:b/>
                <w:sz w:val="20"/>
                <w:szCs w:val="20"/>
              </w:rPr>
              <w:t>Compliance Database - Mexico Lists</w:t>
            </w:r>
          </w:p>
        </w:tc>
        <w:tc>
          <w:tcPr>
            <w:tcW w:w="3855" w:type="dxa"/>
          </w:tcPr>
          <w:p w14:paraId="0814A94D" w14:textId="1BAF962A"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monthly</w:t>
            </w:r>
          </w:p>
          <w:p w14:paraId="039EC7E5" w14:textId="77777777" w:rsidR="00204981" w:rsidRPr="00204981" w:rsidRDefault="00204981" w:rsidP="00204981">
            <w:pPr>
              <w:tabs>
                <w:tab w:val="left" w:pos="818"/>
                <w:tab w:val="left" w:pos="820"/>
              </w:tabs>
              <w:spacing w:before="41" w:line="259" w:lineRule="auto"/>
              <w:ind w:right="18"/>
              <w:rPr>
                <w:sz w:val="20"/>
                <w:szCs w:val="20"/>
              </w:rPr>
            </w:pPr>
          </w:p>
        </w:tc>
      </w:tr>
      <w:tr w:rsidR="00204981" w14:paraId="35E8F0D0" w14:textId="77777777" w:rsidTr="00204981">
        <w:trPr>
          <w:trHeight w:val="506"/>
        </w:trPr>
        <w:tc>
          <w:tcPr>
            <w:tcW w:w="3854" w:type="dxa"/>
          </w:tcPr>
          <w:p w14:paraId="436ADE98" w14:textId="70740A1C" w:rsidR="00204981" w:rsidRPr="00204981" w:rsidRDefault="00204981" w:rsidP="00204981">
            <w:pPr>
              <w:tabs>
                <w:tab w:val="left" w:pos="818"/>
                <w:tab w:val="left" w:pos="820"/>
              </w:tabs>
              <w:spacing w:before="41" w:line="259" w:lineRule="auto"/>
              <w:ind w:right="18"/>
              <w:jc w:val="both"/>
              <w:rPr>
                <w:b/>
                <w:sz w:val="20"/>
                <w:szCs w:val="20"/>
              </w:rPr>
            </w:pPr>
            <w:r w:rsidRPr="00204981">
              <w:rPr>
                <w:b/>
                <w:sz w:val="20"/>
                <w:szCs w:val="20"/>
              </w:rPr>
              <w:t>Compliance Database - Colombia Lists</w:t>
            </w:r>
          </w:p>
        </w:tc>
        <w:tc>
          <w:tcPr>
            <w:tcW w:w="3855" w:type="dxa"/>
          </w:tcPr>
          <w:p w14:paraId="50885FED" w14:textId="77777777"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quarterly</w:t>
            </w:r>
          </w:p>
          <w:p w14:paraId="75EA3B11" w14:textId="77777777" w:rsidR="00204981" w:rsidRPr="00204981" w:rsidRDefault="00204981" w:rsidP="00204981">
            <w:pPr>
              <w:tabs>
                <w:tab w:val="left" w:pos="818"/>
                <w:tab w:val="left" w:pos="820"/>
              </w:tabs>
              <w:spacing w:before="41" w:line="259" w:lineRule="auto"/>
              <w:ind w:right="18"/>
              <w:rPr>
                <w:sz w:val="20"/>
                <w:szCs w:val="20"/>
              </w:rPr>
            </w:pPr>
          </w:p>
        </w:tc>
      </w:tr>
      <w:tr w:rsidR="00204981" w14:paraId="0884BEBD" w14:textId="77777777" w:rsidTr="00204981">
        <w:trPr>
          <w:trHeight w:val="506"/>
        </w:trPr>
        <w:tc>
          <w:tcPr>
            <w:tcW w:w="3854" w:type="dxa"/>
          </w:tcPr>
          <w:p w14:paraId="309593B0" w14:textId="76D9C56C" w:rsidR="00204981" w:rsidRPr="00204981" w:rsidRDefault="00204981" w:rsidP="00204981">
            <w:pPr>
              <w:tabs>
                <w:tab w:val="left" w:pos="818"/>
                <w:tab w:val="left" w:pos="820"/>
              </w:tabs>
              <w:spacing w:before="41" w:line="259" w:lineRule="auto"/>
              <w:ind w:right="18"/>
              <w:jc w:val="both"/>
              <w:rPr>
                <w:b/>
                <w:sz w:val="20"/>
                <w:szCs w:val="20"/>
              </w:rPr>
            </w:pPr>
            <w:r w:rsidRPr="00204981">
              <w:rPr>
                <w:b/>
                <w:bCs/>
                <w:sz w:val="20"/>
                <w:szCs w:val="20"/>
              </w:rPr>
              <w:t>Ownership &amp; Affiliation Network (EU)</w:t>
            </w:r>
          </w:p>
        </w:tc>
        <w:tc>
          <w:tcPr>
            <w:tcW w:w="3855" w:type="dxa"/>
          </w:tcPr>
          <w:p w14:paraId="5CC9E59C" w14:textId="77777777"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monthly</w:t>
            </w:r>
          </w:p>
          <w:p w14:paraId="754F9143" w14:textId="77777777" w:rsidR="00204981" w:rsidRPr="00204981" w:rsidRDefault="00204981" w:rsidP="00204981">
            <w:pPr>
              <w:tabs>
                <w:tab w:val="left" w:pos="818"/>
                <w:tab w:val="left" w:pos="820"/>
              </w:tabs>
              <w:spacing w:before="41" w:line="259" w:lineRule="auto"/>
              <w:ind w:right="18"/>
              <w:rPr>
                <w:sz w:val="20"/>
                <w:szCs w:val="20"/>
              </w:rPr>
            </w:pPr>
          </w:p>
        </w:tc>
      </w:tr>
      <w:tr w:rsidR="00204981" w14:paraId="6F77E313" w14:textId="77777777" w:rsidTr="00204981">
        <w:trPr>
          <w:trHeight w:val="506"/>
        </w:trPr>
        <w:tc>
          <w:tcPr>
            <w:tcW w:w="3854" w:type="dxa"/>
          </w:tcPr>
          <w:p w14:paraId="269EE6AC" w14:textId="1D91FA36" w:rsidR="00204981" w:rsidRPr="00204981" w:rsidRDefault="00204981" w:rsidP="00204981">
            <w:pPr>
              <w:tabs>
                <w:tab w:val="left" w:pos="818"/>
                <w:tab w:val="left" w:pos="820"/>
              </w:tabs>
              <w:spacing w:before="41" w:line="259" w:lineRule="auto"/>
              <w:ind w:right="18"/>
              <w:jc w:val="both"/>
              <w:rPr>
                <w:b/>
                <w:sz w:val="20"/>
                <w:szCs w:val="20"/>
              </w:rPr>
            </w:pPr>
            <w:r w:rsidRPr="00204981">
              <w:rPr>
                <w:b/>
                <w:bCs/>
                <w:sz w:val="20"/>
                <w:szCs w:val="20"/>
              </w:rPr>
              <w:t>Ownership &amp; Affiliation Network (OFAC)</w:t>
            </w:r>
          </w:p>
        </w:tc>
        <w:tc>
          <w:tcPr>
            <w:tcW w:w="3855" w:type="dxa"/>
          </w:tcPr>
          <w:p w14:paraId="58444447" w14:textId="77777777" w:rsidR="00204981" w:rsidRPr="00204981" w:rsidRDefault="00204981" w:rsidP="00204981">
            <w:pPr>
              <w:tabs>
                <w:tab w:val="left" w:pos="818"/>
                <w:tab w:val="left" w:pos="820"/>
              </w:tabs>
              <w:spacing w:before="41" w:line="259" w:lineRule="auto"/>
              <w:ind w:right="18"/>
              <w:rPr>
                <w:sz w:val="20"/>
                <w:szCs w:val="20"/>
              </w:rPr>
            </w:pPr>
            <w:r w:rsidRPr="00204981">
              <w:rPr>
                <w:sz w:val="20"/>
                <w:szCs w:val="20"/>
              </w:rPr>
              <w:t>Updates to be delivered monthly</w:t>
            </w:r>
          </w:p>
          <w:p w14:paraId="390427CE" w14:textId="77777777" w:rsidR="00204981" w:rsidRPr="00204981" w:rsidRDefault="00204981" w:rsidP="00204981">
            <w:pPr>
              <w:tabs>
                <w:tab w:val="left" w:pos="818"/>
                <w:tab w:val="left" w:pos="820"/>
              </w:tabs>
              <w:spacing w:before="41" w:line="259" w:lineRule="auto"/>
              <w:ind w:right="18"/>
              <w:rPr>
                <w:sz w:val="20"/>
                <w:szCs w:val="20"/>
              </w:rPr>
            </w:pPr>
          </w:p>
        </w:tc>
      </w:tr>
    </w:tbl>
    <w:p w14:paraId="0A3A9CC2" w14:textId="77777777" w:rsidR="00204981" w:rsidRDefault="00204981" w:rsidP="00204981">
      <w:pPr>
        <w:tabs>
          <w:tab w:val="left" w:pos="818"/>
          <w:tab w:val="left" w:pos="820"/>
        </w:tabs>
        <w:spacing w:before="41" w:line="259" w:lineRule="auto"/>
        <w:ind w:right="18"/>
        <w:jc w:val="both"/>
      </w:pPr>
      <w:r>
        <w:tab/>
      </w:r>
    </w:p>
    <w:p w14:paraId="0E577E93" w14:textId="49CAF58A" w:rsidR="00204981" w:rsidRDefault="00204981" w:rsidP="00204981">
      <w:pPr>
        <w:tabs>
          <w:tab w:val="left" w:pos="818"/>
          <w:tab w:val="left" w:pos="820"/>
        </w:tabs>
        <w:spacing w:before="41" w:line="259" w:lineRule="auto"/>
        <w:ind w:right="18"/>
        <w:jc w:val="both"/>
      </w:pPr>
    </w:p>
    <w:p w14:paraId="7C0336D5" w14:textId="77777777" w:rsidR="005523A8" w:rsidRDefault="005523A8" w:rsidP="005523A8">
      <w:pPr>
        <w:tabs>
          <w:tab w:val="left" w:pos="818"/>
          <w:tab w:val="left" w:pos="820"/>
        </w:tabs>
        <w:spacing w:before="41" w:line="259" w:lineRule="auto"/>
        <w:ind w:right="18"/>
      </w:pPr>
    </w:p>
    <w:p w14:paraId="6DBA93EE" w14:textId="77777777" w:rsidR="00204981" w:rsidRDefault="00204981" w:rsidP="005523A8">
      <w:pPr>
        <w:tabs>
          <w:tab w:val="left" w:pos="818"/>
          <w:tab w:val="left" w:pos="820"/>
        </w:tabs>
        <w:spacing w:before="41" w:line="259" w:lineRule="auto"/>
        <w:ind w:right="18"/>
        <w:rPr>
          <w:b/>
          <w:bCs/>
        </w:rPr>
      </w:pPr>
    </w:p>
    <w:p w14:paraId="4488384D" w14:textId="77777777" w:rsidR="00204981" w:rsidRDefault="00204981" w:rsidP="005523A8">
      <w:pPr>
        <w:tabs>
          <w:tab w:val="left" w:pos="818"/>
          <w:tab w:val="left" w:pos="820"/>
        </w:tabs>
        <w:spacing w:before="41" w:line="259" w:lineRule="auto"/>
        <w:ind w:right="18"/>
        <w:rPr>
          <w:b/>
          <w:bCs/>
        </w:rPr>
      </w:pPr>
    </w:p>
    <w:p w14:paraId="38486048" w14:textId="77777777" w:rsidR="00204981" w:rsidRDefault="00204981" w:rsidP="005523A8">
      <w:pPr>
        <w:tabs>
          <w:tab w:val="left" w:pos="818"/>
          <w:tab w:val="left" w:pos="820"/>
        </w:tabs>
        <w:spacing w:before="41" w:line="259" w:lineRule="auto"/>
        <w:ind w:right="18"/>
        <w:rPr>
          <w:b/>
          <w:bCs/>
        </w:rPr>
      </w:pPr>
    </w:p>
    <w:p w14:paraId="329AD73C" w14:textId="77777777" w:rsidR="00204981" w:rsidRDefault="00204981" w:rsidP="005523A8">
      <w:pPr>
        <w:tabs>
          <w:tab w:val="left" w:pos="818"/>
          <w:tab w:val="left" w:pos="820"/>
        </w:tabs>
        <w:spacing w:before="41" w:line="259" w:lineRule="auto"/>
        <w:ind w:right="18"/>
        <w:rPr>
          <w:b/>
          <w:bCs/>
        </w:rPr>
      </w:pPr>
    </w:p>
    <w:p w14:paraId="24801212" w14:textId="77777777" w:rsidR="00204981" w:rsidRDefault="00204981" w:rsidP="005523A8">
      <w:pPr>
        <w:tabs>
          <w:tab w:val="left" w:pos="818"/>
          <w:tab w:val="left" w:pos="820"/>
        </w:tabs>
        <w:spacing w:before="41" w:line="259" w:lineRule="auto"/>
        <w:ind w:right="18"/>
        <w:rPr>
          <w:b/>
          <w:bCs/>
        </w:rPr>
      </w:pPr>
    </w:p>
    <w:p w14:paraId="602DF242" w14:textId="77777777" w:rsidR="00204981" w:rsidRDefault="00204981" w:rsidP="005523A8">
      <w:pPr>
        <w:tabs>
          <w:tab w:val="left" w:pos="818"/>
          <w:tab w:val="left" w:pos="820"/>
        </w:tabs>
        <w:spacing w:before="41" w:line="259" w:lineRule="auto"/>
        <w:ind w:right="18"/>
        <w:rPr>
          <w:b/>
          <w:bCs/>
        </w:rPr>
      </w:pPr>
    </w:p>
    <w:p w14:paraId="50790BC0" w14:textId="77777777" w:rsidR="00204981" w:rsidRDefault="00204981" w:rsidP="005523A8">
      <w:pPr>
        <w:tabs>
          <w:tab w:val="left" w:pos="818"/>
          <w:tab w:val="left" w:pos="820"/>
        </w:tabs>
        <w:spacing w:before="41" w:line="259" w:lineRule="auto"/>
        <w:ind w:right="18"/>
        <w:rPr>
          <w:b/>
          <w:bCs/>
        </w:rPr>
      </w:pPr>
    </w:p>
    <w:p w14:paraId="6B9CAF24" w14:textId="77777777" w:rsidR="00204981" w:rsidRDefault="00204981" w:rsidP="005523A8">
      <w:pPr>
        <w:tabs>
          <w:tab w:val="left" w:pos="818"/>
          <w:tab w:val="left" w:pos="820"/>
        </w:tabs>
        <w:spacing w:before="41" w:line="259" w:lineRule="auto"/>
        <w:ind w:right="18"/>
        <w:rPr>
          <w:b/>
          <w:bCs/>
        </w:rPr>
      </w:pPr>
    </w:p>
    <w:p w14:paraId="5A40CB11" w14:textId="77777777" w:rsidR="005523A8" w:rsidRDefault="005523A8" w:rsidP="005523A8">
      <w:pPr>
        <w:tabs>
          <w:tab w:val="left" w:pos="818"/>
          <w:tab w:val="left" w:pos="820"/>
        </w:tabs>
        <w:spacing w:before="41" w:line="259" w:lineRule="auto"/>
        <w:ind w:right="18"/>
      </w:pPr>
    </w:p>
    <w:p w14:paraId="59440423" w14:textId="77777777" w:rsidR="00204981" w:rsidRDefault="00204981" w:rsidP="005523A8">
      <w:pPr>
        <w:tabs>
          <w:tab w:val="left" w:pos="818"/>
          <w:tab w:val="left" w:pos="820"/>
        </w:tabs>
        <w:spacing w:before="41" w:line="259" w:lineRule="auto"/>
        <w:ind w:right="18"/>
        <w:rPr>
          <w:b/>
          <w:bCs/>
        </w:rPr>
      </w:pPr>
    </w:p>
    <w:p w14:paraId="193FA490" w14:textId="77777777" w:rsidR="005523A8" w:rsidRDefault="005523A8" w:rsidP="005523A8">
      <w:pPr>
        <w:tabs>
          <w:tab w:val="left" w:pos="818"/>
          <w:tab w:val="left" w:pos="820"/>
        </w:tabs>
        <w:spacing w:before="41" w:line="259" w:lineRule="auto"/>
        <w:ind w:right="18"/>
      </w:pPr>
    </w:p>
    <w:p w14:paraId="0AFCFE5B" w14:textId="77777777" w:rsidR="005523A8" w:rsidRDefault="005523A8" w:rsidP="005523A8">
      <w:pPr>
        <w:tabs>
          <w:tab w:val="left" w:pos="818"/>
          <w:tab w:val="left" w:pos="820"/>
        </w:tabs>
        <w:spacing w:before="41" w:line="259" w:lineRule="auto"/>
        <w:ind w:right="18"/>
      </w:pPr>
    </w:p>
    <w:p w14:paraId="47CFF7CF" w14:textId="77777777" w:rsidR="002C7A76" w:rsidRDefault="002C7A76" w:rsidP="005523A8">
      <w:pPr>
        <w:tabs>
          <w:tab w:val="left" w:pos="818"/>
          <w:tab w:val="left" w:pos="820"/>
        </w:tabs>
        <w:spacing w:before="41" w:line="259" w:lineRule="auto"/>
        <w:ind w:right="18"/>
      </w:pPr>
    </w:p>
    <w:p w14:paraId="68AE96D4" w14:textId="77777777" w:rsidR="00204981" w:rsidRDefault="00204981" w:rsidP="005523A8">
      <w:pPr>
        <w:tabs>
          <w:tab w:val="left" w:pos="818"/>
          <w:tab w:val="left" w:pos="820"/>
        </w:tabs>
        <w:spacing w:before="41" w:line="259" w:lineRule="auto"/>
        <w:ind w:right="18"/>
        <w:rPr>
          <w:b/>
        </w:rPr>
      </w:pPr>
    </w:p>
    <w:p w14:paraId="19FC427C" w14:textId="77777777" w:rsidR="00204981" w:rsidRDefault="00204981" w:rsidP="005523A8">
      <w:pPr>
        <w:tabs>
          <w:tab w:val="left" w:pos="818"/>
          <w:tab w:val="left" w:pos="820"/>
        </w:tabs>
        <w:spacing w:before="41" w:line="259" w:lineRule="auto"/>
        <w:ind w:right="18"/>
        <w:rPr>
          <w:b/>
        </w:rPr>
      </w:pPr>
    </w:p>
    <w:p w14:paraId="7FA0F630" w14:textId="77777777" w:rsidR="00204981" w:rsidRDefault="00204981" w:rsidP="005523A8">
      <w:pPr>
        <w:tabs>
          <w:tab w:val="left" w:pos="818"/>
          <w:tab w:val="left" w:pos="820"/>
        </w:tabs>
        <w:spacing w:before="41" w:line="259" w:lineRule="auto"/>
        <w:ind w:right="18"/>
        <w:rPr>
          <w:b/>
        </w:rPr>
      </w:pPr>
    </w:p>
    <w:p w14:paraId="05925A66" w14:textId="77777777" w:rsidR="00204981" w:rsidRDefault="00204981" w:rsidP="005523A8">
      <w:pPr>
        <w:tabs>
          <w:tab w:val="left" w:pos="818"/>
          <w:tab w:val="left" w:pos="820"/>
        </w:tabs>
        <w:spacing w:before="41" w:line="259" w:lineRule="auto"/>
        <w:ind w:right="18"/>
        <w:rPr>
          <w:b/>
        </w:rPr>
      </w:pPr>
    </w:p>
    <w:p w14:paraId="0E447750" w14:textId="77777777" w:rsidR="0073127F" w:rsidRDefault="0073127F" w:rsidP="005523A8">
      <w:pPr>
        <w:tabs>
          <w:tab w:val="left" w:pos="818"/>
          <w:tab w:val="left" w:pos="820"/>
        </w:tabs>
        <w:spacing w:before="41" w:line="259" w:lineRule="auto"/>
        <w:ind w:right="18"/>
        <w:rPr>
          <w:b/>
        </w:rPr>
      </w:pPr>
    </w:p>
    <w:p w14:paraId="2AECB9BB" w14:textId="77777777" w:rsidR="00204981" w:rsidRDefault="00204981" w:rsidP="005523A8">
      <w:pPr>
        <w:tabs>
          <w:tab w:val="left" w:pos="818"/>
          <w:tab w:val="left" w:pos="820"/>
        </w:tabs>
        <w:spacing w:before="41" w:line="259" w:lineRule="auto"/>
        <w:ind w:right="18"/>
        <w:rPr>
          <w:b/>
        </w:rPr>
      </w:pPr>
    </w:p>
    <w:p w14:paraId="0975E2C5" w14:textId="77777777" w:rsidR="00204981" w:rsidRDefault="00204981" w:rsidP="005523A8">
      <w:pPr>
        <w:tabs>
          <w:tab w:val="left" w:pos="818"/>
          <w:tab w:val="left" w:pos="820"/>
        </w:tabs>
        <w:spacing w:before="41" w:line="259" w:lineRule="auto"/>
        <w:ind w:right="18"/>
        <w:rPr>
          <w:b/>
        </w:rPr>
      </w:pPr>
    </w:p>
    <w:p w14:paraId="510181A4" w14:textId="77777777" w:rsidR="00204981" w:rsidRDefault="00204981" w:rsidP="005523A8">
      <w:pPr>
        <w:tabs>
          <w:tab w:val="left" w:pos="818"/>
          <w:tab w:val="left" w:pos="820"/>
        </w:tabs>
        <w:spacing w:before="41" w:line="259" w:lineRule="auto"/>
        <w:ind w:right="18"/>
        <w:rPr>
          <w:b/>
        </w:rPr>
      </w:pPr>
    </w:p>
    <w:p w14:paraId="7DF23E26" w14:textId="77777777" w:rsidR="00204981" w:rsidRDefault="00204981" w:rsidP="005523A8">
      <w:pPr>
        <w:tabs>
          <w:tab w:val="left" w:pos="818"/>
          <w:tab w:val="left" w:pos="820"/>
        </w:tabs>
        <w:spacing w:before="41" w:line="259" w:lineRule="auto"/>
        <w:ind w:right="18"/>
        <w:rPr>
          <w:b/>
        </w:rPr>
      </w:pPr>
    </w:p>
    <w:p w14:paraId="32C3E757" w14:textId="77777777" w:rsidR="00204981" w:rsidRDefault="00204981" w:rsidP="005523A8">
      <w:pPr>
        <w:tabs>
          <w:tab w:val="left" w:pos="818"/>
          <w:tab w:val="left" w:pos="820"/>
        </w:tabs>
        <w:spacing w:before="41" w:line="259" w:lineRule="auto"/>
        <w:ind w:right="18"/>
        <w:rPr>
          <w:b/>
        </w:rPr>
      </w:pPr>
    </w:p>
    <w:p w14:paraId="21EBD914" w14:textId="77777777" w:rsidR="00204981" w:rsidRDefault="00204981" w:rsidP="005523A8">
      <w:pPr>
        <w:tabs>
          <w:tab w:val="left" w:pos="818"/>
          <w:tab w:val="left" w:pos="820"/>
        </w:tabs>
        <w:spacing w:before="41" w:line="259" w:lineRule="auto"/>
        <w:ind w:right="18"/>
        <w:rPr>
          <w:b/>
        </w:rPr>
      </w:pPr>
    </w:p>
    <w:sectPr w:rsidR="00204981">
      <w:footerReference w:type="default" r:id="rId7"/>
      <w:pgSz w:w="11910" w:h="16840"/>
      <w:pgMar w:top="1380" w:right="1417"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BAA5" w14:textId="77777777" w:rsidR="005F0B22" w:rsidRDefault="005F0B22" w:rsidP="00C76AE7">
      <w:r>
        <w:separator/>
      </w:r>
    </w:p>
  </w:endnote>
  <w:endnote w:type="continuationSeparator" w:id="0">
    <w:p w14:paraId="2C2764E2" w14:textId="77777777" w:rsidR="005F0B22" w:rsidRDefault="005F0B22" w:rsidP="00C7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FDFA" w14:textId="77777777" w:rsidR="00C76AE7" w:rsidRDefault="00C76AE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E7A8001" w14:textId="79358A05" w:rsidR="00C76AE7" w:rsidRPr="00C76AE7" w:rsidRDefault="00C76AE7">
    <w:pPr>
      <w:pStyle w:val="Footer"/>
      <w:rPr>
        <w:sz w:val="12"/>
        <w:szCs w:val="12"/>
      </w:rPr>
    </w:pPr>
    <w:r w:rsidRPr="00C76AE7">
      <w:rPr>
        <w:sz w:val="12"/>
        <w:szCs w:val="12"/>
      </w:rPr>
      <w:t>Diligent Corporation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286A" w14:textId="77777777" w:rsidR="005F0B22" w:rsidRDefault="005F0B22" w:rsidP="00C76AE7">
      <w:r>
        <w:separator/>
      </w:r>
    </w:p>
  </w:footnote>
  <w:footnote w:type="continuationSeparator" w:id="0">
    <w:p w14:paraId="1F198826" w14:textId="77777777" w:rsidR="005F0B22" w:rsidRDefault="005F0B22" w:rsidP="00C76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F4200"/>
    <w:multiLevelType w:val="hybridMultilevel"/>
    <w:tmpl w:val="63C61234"/>
    <w:lvl w:ilvl="0" w:tplc="96D4B3A2">
      <w:start w:val="1"/>
      <w:numFmt w:val="upperLetter"/>
      <w:lvlText w:val="%1."/>
      <w:lvlJc w:val="left"/>
      <w:pPr>
        <w:ind w:left="460" w:hanging="360"/>
      </w:pPr>
      <w:rPr>
        <w:rFonts w:ascii="Calibri" w:eastAsia="Calibri" w:hAnsi="Calibri" w:cs="Calibri" w:hint="default"/>
        <w:b w:val="0"/>
        <w:bCs w:val="0"/>
        <w:i w:val="0"/>
        <w:iCs w:val="0"/>
        <w:spacing w:val="-1"/>
        <w:w w:val="100"/>
        <w:sz w:val="22"/>
        <w:szCs w:val="22"/>
        <w:lang w:val="en-US" w:eastAsia="en-US" w:bidi="ar-SA"/>
      </w:rPr>
    </w:lvl>
    <w:lvl w:ilvl="1" w:tplc="E6CCD76C">
      <w:start w:val="1"/>
      <w:numFmt w:val="decimal"/>
      <w:lvlText w:val="%2."/>
      <w:lvlJc w:val="left"/>
      <w:pPr>
        <w:ind w:left="927" w:hanging="360"/>
      </w:pPr>
      <w:rPr>
        <w:rFonts w:ascii="Calibri" w:eastAsia="Calibri" w:hAnsi="Calibri" w:cs="Calibri" w:hint="default"/>
        <w:b w:val="0"/>
        <w:bCs w:val="0"/>
        <w:i w:val="0"/>
        <w:iCs w:val="0"/>
        <w:spacing w:val="0"/>
        <w:w w:val="100"/>
        <w:sz w:val="22"/>
        <w:szCs w:val="22"/>
        <w:lang w:val="en-US" w:eastAsia="en-US" w:bidi="ar-SA"/>
      </w:rPr>
    </w:lvl>
    <w:lvl w:ilvl="2" w:tplc="CFFEDFC2">
      <w:start w:val="1"/>
      <w:numFmt w:val="lowerLetter"/>
      <w:lvlText w:val="%3."/>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3" w:tplc="B0343862">
      <w:numFmt w:val="bullet"/>
      <w:lvlText w:val="•"/>
      <w:lvlJc w:val="left"/>
      <w:pPr>
        <w:ind w:left="2446" w:hanging="360"/>
      </w:pPr>
      <w:rPr>
        <w:rFonts w:hint="default"/>
        <w:lang w:val="en-US" w:eastAsia="en-US" w:bidi="ar-SA"/>
      </w:rPr>
    </w:lvl>
    <w:lvl w:ilvl="4" w:tplc="68D40FA4">
      <w:numFmt w:val="bullet"/>
      <w:lvlText w:val="•"/>
      <w:lvlJc w:val="left"/>
      <w:pPr>
        <w:ind w:left="3352" w:hanging="360"/>
      </w:pPr>
      <w:rPr>
        <w:rFonts w:hint="default"/>
        <w:lang w:val="en-US" w:eastAsia="en-US" w:bidi="ar-SA"/>
      </w:rPr>
    </w:lvl>
    <w:lvl w:ilvl="5" w:tplc="64BE435E">
      <w:numFmt w:val="bullet"/>
      <w:lvlText w:val="•"/>
      <w:lvlJc w:val="left"/>
      <w:pPr>
        <w:ind w:left="4258" w:hanging="360"/>
      </w:pPr>
      <w:rPr>
        <w:rFonts w:hint="default"/>
        <w:lang w:val="en-US" w:eastAsia="en-US" w:bidi="ar-SA"/>
      </w:rPr>
    </w:lvl>
    <w:lvl w:ilvl="6" w:tplc="FA985886">
      <w:numFmt w:val="bullet"/>
      <w:lvlText w:val="•"/>
      <w:lvlJc w:val="left"/>
      <w:pPr>
        <w:ind w:left="5164" w:hanging="360"/>
      </w:pPr>
      <w:rPr>
        <w:rFonts w:hint="default"/>
        <w:lang w:val="en-US" w:eastAsia="en-US" w:bidi="ar-SA"/>
      </w:rPr>
    </w:lvl>
    <w:lvl w:ilvl="7" w:tplc="6AF6BE16">
      <w:numFmt w:val="bullet"/>
      <w:lvlText w:val="•"/>
      <w:lvlJc w:val="left"/>
      <w:pPr>
        <w:ind w:left="6070" w:hanging="360"/>
      </w:pPr>
      <w:rPr>
        <w:rFonts w:hint="default"/>
        <w:lang w:val="en-US" w:eastAsia="en-US" w:bidi="ar-SA"/>
      </w:rPr>
    </w:lvl>
    <w:lvl w:ilvl="8" w:tplc="E0B62C5C">
      <w:numFmt w:val="bullet"/>
      <w:lvlText w:val="•"/>
      <w:lvlJc w:val="left"/>
      <w:pPr>
        <w:ind w:left="6977" w:hanging="360"/>
      </w:pPr>
      <w:rPr>
        <w:rFonts w:hint="default"/>
        <w:lang w:val="en-US" w:eastAsia="en-US" w:bidi="ar-SA"/>
      </w:rPr>
    </w:lvl>
  </w:abstractNum>
  <w:abstractNum w:abstractNumId="1" w15:restartNumberingAfterBreak="0">
    <w:nsid w:val="4BF70939"/>
    <w:multiLevelType w:val="multilevel"/>
    <w:tmpl w:val="017C67CE"/>
    <w:lvl w:ilvl="0">
      <w:start w:val="1"/>
      <w:numFmt w:val="decimal"/>
      <w:lvlText w:val="%1."/>
      <w:lvlJc w:val="left"/>
      <w:pPr>
        <w:ind w:left="216" w:hanging="540"/>
      </w:pPr>
      <w:rPr>
        <w:rFonts w:ascii="Arial" w:eastAsia="Arial" w:hAnsi="Arial" w:cs="Arial" w:hint="default"/>
        <w:b/>
        <w:bCs/>
        <w:i w:val="0"/>
        <w:iCs w:val="0"/>
        <w:spacing w:val="0"/>
        <w:w w:val="94"/>
        <w:sz w:val="20"/>
        <w:szCs w:val="20"/>
        <w:lang w:val="en-US" w:eastAsia="en-US" w:bidi="ar-SA"/>
      </w:rPr>
    </w:lvl>
    <w:lvl w:ilvl="1">
      <w:start w:val="1"/>
      <w:numFmt w:val="decimal"/>
      <w:lvlText w:val="%1.%2."/>
      <w:lvlJc w:val="left"/>
      <w:pPr>
        <w:ind w:left="216" w:hanging="538"/>
      </w:pPr>
      <w:rPr>
        <w:rFonts w:ascii="Arial" w:eastAsia="Arial" w:hAnsi="Arial" w:cs="Arial" w:hint="default"/>
        <w:b w:val="0"/>
        <w:bCs w:val="0"/>
        <w:i w:val="0"/>
        <w:iCs w:val="0"/>
        <w:spacing w:val="-1"/>
        <w:w w:val="95"/>
        <w:sz w:val="20"/>
        <w:szCs w:val="20"/>
        <w:lang w:val="en-US" w:eastAsia="en-US" w:bidi="ar-SA"/>
      </w:rPr>
    </w:lvl>
    <w:lvl w:ilvl="2">
      <w:start w:val="1"/>
      <w:numFmt w:val="lowerLetter"/>
      <w:lvlText w:val="(%3)"/>
      <w:lvlJc w:val="left"/>
      <w:pPr>
        <w:ind w:left="1027" w:hanging="358"/>
      </w:pPr>
      <w:rPr>
        <w:rFonts w:ascii="Arial" w:eastAsia="Arial" w:hAnsi="Arial" w:cs="Arial" w:hint="default"/>
        <w:b w:val="0"/>
        <w:bCs w:val="0"/>
        <w:i w:val="0"/>
        <w:iCs w:val="0"/>
        <w:spacing w:val="-4"/>
        <w:w w:val="95"/>
        <w:sz w:val="20"/>
        <w:szCs w:val="20"/>
        <w:lang w:val="en-US" w:eastAsia="en-US" w:bidi="ar-SA"/>
      </w:rPr>
    </w:lvl>
    <w:lvl w:ilvl="3">
      <w:numFmt w:val="bullet"/>
      <w:lvlText w:val="•"/>
      <w:lvlJc w:val="left"/>
      <w:pPr>
        <w:ind w:left="2152" w:hanging="358"/>
      </w:pPr>
      <w:rPr>
        <w:rFonts w:hint="default"/>
        <w:lang w:val="en-US" w:eastAsia="en-US" w:bidi="ar-SA"/>
      </w:rPr>
    </w:lvl>
    <w:lvl w:ilvl="4">
      <w:numFmt w:val="bullet"/>
      <w:lvlText w:val="•"/>
      <w:lvlJc w:val="left"/>
      <w:pPr>
        <w:ind w:left="3285" w:hanging="358"/>
      </w:pPr>
      <w:rPr>
        <w:rFonts w:hint="default"/>
        <w:lang w:val="en-US" w:eastAsia="en-US" w:bidi="ar-SA"/>
      </w:rPr>
    </w:lvl>
    <w:lvl w:ilvl="5">
      <w:numFmt w:val="bullet"/>
      <w:lvlText w:val="•"/>
      <w:lvlJc w:val="left"/>
      <w:pPr>
        <w:ind w:left="4417" w:hanging="358"/>
      </w:pPr>
      <w:rPr>
        <w:rFonts w:hint="default"/>
        <w:lang w:val="en-US" w:eastAsia="en-US" w:bidi="ar-SA"/>
      </w:rPr>
    </w:lvl>
    <w:lvl w:ilvl="6">
      <w:numFmt w:val="bullet"/>
      <w:lvlText w:val="•"/>
      <w:lvlJc w:val="left"/>
      <w:pPr>
        <w:ind w:left="5550" w:hanging="358"/>
      </w:pPr>
      <w:rPr>
        <w:rFonts w:hint="default"/>
        <w:lang w:val="en-US" w:eastAsia="en-US" w:bidi="ar-SA"/>
      </w:rPr>
    </w:lvl>
    <w:lvl w:ilvl="7">
      <w:numFmt w:val="bullet"/>
      <w:lvlText w:val="•"/>
      <w:lvlJc w:val="left"/>
      <w:pPr>
        <w:ind w:left="6682" w:hanging="358"/>
      </w:pPr>
      <w:rPr>
        <w:rFonts w:hint="default"/>
        <w:lang w:val="en-US" w:eastAsia="en-US" w:bidi="ar-SA"/>
      </w:rPr>
    </w:lvl>
    <w:lvl w:ilvl="8">
      <w:numFmt w:val="bullet"/>
      <w:lvlText w:val="•"/>
      <w:lvlJc w:val="left"/>
      <w:pPr>
        <w:ind w:left="7815" w:hanging="358"/>
      </w:pPr>
      <w:rPr>
        <w:rFonts w:hint="default"/>
        <w:lang w:val="en-US" w:eastAsia="en-US" w:bidi="ar-SA"/>
      </w:rPr>
    </w:lvl>
  </w:abstractNum>
  <w:abstractNum w:abstractNumId="2" w15:restartNumberingAfterBreak="0">
    <w:nsid w:val="4E2F19F0"/>
    <w:multiLevelType w:val="hybridMultilevel"/>
    <w:tmpl w:val="ABE04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095162">
    <w:abstractNumId w:val="0"/>
  </w:num>
  <w:num w:numId="2" w16cid:durableId="1999923022">
    <w:abstractNumId w:val="1"/>
  </w:num>
  <w:num w:numId="3" w16cid:durableId="214299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19E5"/>
    <w:rsid w:val="00037CAA"/>
    <w:rsid w:val="00074C02"/>
    <w:rsid w:val="00087311"/>
    <w:rsid w:val="00161C6B"/>
    <w:rsid w:val="002020A7"/>
    <w:rsid w:val="00204981"/>
    <w:rsid w:val="002138D9"/>
    <w:rsid w:val="002C7A76"/>
    <w:rsid w:val="00443B8A"/>
    <w:rsid w:val="005523A8"/>
    <w:rsid w:val="005F0B22"/>
    <w:rsid w:val="005F38A0"/>
    <w:rsid w:val="006019E5"/>
    <w:rsid w:val="0073127F"/>
    <w:rsid w:val="007651A0"/>
    <w:rsid w:val="007D1F13"/>
    <w:rsid w:val="00827AE8"/>
    <w:rsid w:val="008E5C56"/>
    <w:rsid w:val="00A07949"/>
    <w:rsid w:val="00AF7944"/>
    <w:rsid w:val="00BE6AA1"/>
    <w:rsid w:val="00C76AE7"/>
    <w:rsid w:val="00D86E5B"/>
    <w:rsid w:val="00F82D82"/>
    <w:rsid w:val="00F91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B90F"/>
  <w15:docId w15:val="{39FFBD9B-F587-4419-A46D-34D0A786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27F"/>
    <w:rPr>
      <w:rFonts w:ascii="Calibri" w:eastAsia="Calibri" w:hAnsi="Calibri" w:cs="Calibri"/>
    </w:rPr>
  </w:style>
  <w:style w:type="paragraph" w:styleId="Heading1">
    <w:name w:val="heading 1"/>
    <w:basedOn w:val="Normal"/>
    <w:link w:val="Heading1Char"/>
    <w:uiPriority w:val="9"/>
    <w:qFormat/>
    <w:rsid w:val="00087311"/>
    <w:pPr>
      <w:ind w:left="750"/>
      <w:jc w:val="both"/>
      <w:outlineLvl w:val="0"/>
    </w:pPr>
    <w:rPr>
      <w:rFonts w:ascii="Arial" w:eastAsia="Arial" w:hAnsi="Arial" w:cs="Arial"/>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right="16" w:hanging="360"/>
      <w:jc w:val="both"/>
    </w:pPr>
  </w:style>
  <w:style w:type="paragraph" w:styleId="ListParagraph">
    <w:name w:val="List Paragraph"/>
    <w:basedOn w:val="Normal"/>
    <w:uiPriority w:val="1"/>
    <w:qFormat/>
    <w:pPr>
      <w:ind w:left="820" w:right="16" w:hanging="360"/>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87311"/>
    <w:rPr>
      <w:rFonts w:ascii="Arial" w:eastAsia="Arial" w:hAnsi="Arial" w:cs="Arial"/>
      <w:b/>
      <w:bCs/>
      <w:sz w:val="20"/>
      <w:szCs w:val="20"/>
      <w:u w:val="single" w:color="000000"/>
    </w:rPr>
  </w:style>
  <w:style w:type="character" w:styleId="CommentReference">
    <w:name w:val="annotation reference"/>
    <w:basedOn w:val="DefaultParagraphFont"/>
    <w:uiPriority w:val="99"/>
    <w:semiHidden/>
    <w:unhideWhenUsed/>
    <w:rsid w:val="00087311"/>
    <w:rPr>
      <w:sz w:val="16"/>
      <w:szCs w:val="16"/>
    </w:rPr>
  </w:style>
  <w:style w:type="paragraph" w:styleId="CommentText">
    <w:name w:val="annotation text"/>
    <w:basedOn w:val="Normal"/>
    <w:link w:val="CommentTextChar"/>
    <w:uiPriority w:val="99"/>
    <w:unhideWhenUsed/>
    <w:rsid w:val="00087311"/>
    <w:rPr>
      <w:sz w:val="20"/>
      <w:szCs w:val="20"/>
    </w:rPr>
  </w:style>
  <w:style w:type="character" w:customStyle="1" w:styleId="CommentTextChar">
    <w:name w:val="Comment Text Char"/>
    <w:basedOn w:val="DefaultParagraphFont"/>
    <w:link w:val="CommentText"/>
    <w:uiPriority w:val="99"/>
    <w:rsid w:val="0008731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7311"/>
    <w:rPr>
      <w:b/>
      <w:bCs/>
    </w:rPr>
  </w:style>
  <w:style w:type="character" w:customStyle="1" w:styleId="CommentSubjectChar">
    <w:name w:val="Comment Subject Char"/>
    <w:basedOn w:val="CommentTextChar"/>
    <w:link w:val="CommentSubject"/>
    <w:uiPriority w:val="99"/>
    <w:semiHidden/>
    <w:rsid w:val="00087311"/>
    <w:rPr>
      <w:rFonts w:ascii="Calibri" w:eastAsia="Calibri" w:hAnsi="Calibri" w:cs="Calibri"/>
      <w:b/>
      <w:bCs/>
      <w:sz w:val="20"/>
      <w:szCs w:val="20"/>
    </w:rPr>
  </w:style>
  <w:style w:type="table" w:styleId="TableGrid">
    <w:name w:val="Table Grid"/>
    <w:basedOn w:val="TableNormal"/>
    <w:uiPriority w:val="39"/>
    <w:rsid w:val="0020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AE7"/>
    <w:pPr>
      <w:tabs>
        <w:tab w:val="center" w:pos="4513"/>
        <w:tab w:val="right" w:pos="9026"/>
      </w:tabs>
    </w:pPr>
  </w:style>
  <w:style w:type="character" w:customStyle="1" w:styleId="HeaderChar">
    <w:name w:val="Header Char"/>
    <w:basedOn w:val="DefaultParagraphFont"/>
    <w:link w:val="Header"/>
    <w:uiPriority w:val="99"/>
    <w:rsid w:val="00C76AE7"/>
    <w:rPr>
      <w:rFonts w:ascii="Calibri" w:eastAsia="Calibri" w:hAnsi="Calibri" w:cs="Calibri"/>
    </w:rPr>
  </w:style>
  <w:style w:type="paragraph" w:styleId="Footer">
    <w:name w:val="footer"/>
    <w:basedOn w:val="Normal"/>
    <w:link w:val="FooterChar"/>
    <w:uiPriority w:val="99"/>
    <w:unhideWhenUsed/>
    <w:rsid w:val="00C76AE7"/>
    <w:pPr>
      <w:tabs>
        <w:tab w:val="center" w:pos="4513"/>
        <w:tab w:val="right" w:pos="9026"/>
      </w:tabs>
    </w:pPr>
  </w:style>
  <w:style w:type="character" w:customStyle="1" w:styleId="FooterChar">
    <w:name w:val="Footer Char"/>
    <w:basedOn w:val="DefaultParagraphFont"/>
    <w:link w:val="Footer"/>
    <w:uiPriority w:val="99"/>
    <w:rsid w:val="00C76AE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69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Hess</dc:creator>
  <cp:lastModifiedBy>Laiana Turner</cp:lastModifiedBy>
  <cp:revision>2</cp:revision>
  <dcterms:created xsi:type="dcterms:W3CDTF">2025-08-20T16:35:00Z</dcterms:created>
  <dcterms:modified xsi:type="dcterms:W3CDTF">2025-08-20T16:35:00Z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for Microsoft 365</vt:lpwstr>
  </property>
  <property fmtid="{D5CDD505-2E9C-101B-9397-08002B2CF9AE}" pid="4" name="LastSaved">
    <vt:filetime>2025-05-28T00:00:00Z</vt:filetime>
  </property>
  <property fmtid="{D5CDD505-2E9C-101B-9397-08002B2CF9AE}" pid="5" name="Producer">
    <vt:lpwstr>Microsoft® Word for Microsoft 365</vt:lpwstr>
  </property>
</Properties>
</file>